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(red-rich vs. blue-rich LED). DADA2 processing yielded 348 bacterial and 77 fungal ASVs from 142 and 141 samples respectively. Leaf bacterial community composition differed among flight and light groups (PERMANOVA R²=0.42 for the full flight × light model, p=0.001), and flight samples had higher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padj=0.001) but not with flight status (r=−0.38, padj=0.32), representing a microbe-driven host transcriptional signature independent of the direct spaceflight stimulus. MOFA+ integration across three omics layers confirmed a dominant flight-associated factor (48% transcriptome variance) </w:t>
      </w:r>
      <w:r>
        <w:rPr>
          <w:b/>
        </w:rPr>
        <w:t>[TODO: the MOFA+ microbiome views were built from mismatched samples; re-run before comparing bacterial and fungal responses]</w:t>
      </w:r>
      <w:r>
        <w:t>. The most abundant FAPROTAX-predicted bacterial functions were aerobic chemoheterotrophy, nitrogen fixation, dark hydrogen oxidation and methanol oxidation.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 23].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(Fig. 1).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jc w:val="center"/>
      </w:pPr>
      <w:r>
        <w:drawing>
          <wp:inline xmlns:a="http://schemas.openxmlformats.org/drawingml/2006/main" xmlns:pic="http://schemas.openxmlformats.org/drawingml/2006/picture">
            <wp:extent cx="5760720" cy="29783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2978317"/>
                    </a:xfrm>
                    <a:prstGeom prst="rect"/>
                  </pic:spPr>
                </pic:pic>
              </a:graphicData>
            </a:graphic>
          </wp:inline>
        </w:drawing>
      </w:r>
    </w:p>
    <w:p>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[3]) and OSD-767 (host RNA-seq [23]). The VEG-05 experiment grew tomato cv. Red Robin aboard the ISS under red-rich (90% red:10% blue) or blue-rich (50% red:50%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138.1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Table S1). The design model included flight status, light treatment, and their interaction. Log-fold changes were shrunk with apeglm [13] for main effects and ashr [14] for subset contrasts.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for each flight sample as its mean Bray-Curtis distance to all ground samples of the same compartment (both light treatments), divided by the mean pairwise distance among those ground samples. Differential abundance testing used ALDEx2 [17] with 128 Monte Carlo instances, requiring both a Benjamini–Hochberg-adjusted Welch p &lt; 0.05 and |effect size| &gt; 1; positive effects are higher in flight.</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(Pearson) with flight status, light treatment, and 16S/ITS dysbiosis indices. Hub genes were the 10 genes with the highest module membership (kME) in each module (all kME ≥ 0.86).</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https://github.com/dr-richard-barker/veg05-integrated-omics.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 xml:space="preserve">Bacterial community composition differed among flight and light groups in leaves (PERMANOVA, full flight × light model: R²=0.42, F=4.02, p=0.001, n=21) and adventitious roots (R²=0.33, F=2.93, p=0.001, n=15; Table S4). These R² values are for the whole model, not for spaceflight alone </w:t>
      </w:r>
      <w:r>
        <w:rPr>
          <w:b/>
        </w:rPr>
        <w:t>[TODO: term-wise PERMANOVA]</w:t>
      </w:r>
      <w:r>
        <w:t>. In leaves, bacterial alpha diversity was higher in flight samples: Observed ASVs ranged from 17.8–25.8 in flight versus 10.0–15.2 in ground controls (Fig. 2A; Table S3).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2a_alpha_diversity_16S.png"/>
                    <pic:cNvPicPr/>
                  </pic:nvPicPr>
                  <pic:blipFill>
                    <a:blip r:embed="rId10"/>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model was not significant (model R²=0.45, p=0.054). Adventitious root fungal community composition also differed among groups (model R²=0.65, F=8.19, p=0.001).</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16S.png"/>
                    <pic:cNvPicPr/>
                  </pic:nvPicPr>
                  <pic:blipFill>
                    <a:blip r:embed="rId11"/>
                    <a:stretch>
                      <a:fillRect/>
                    </a:stretch>
                  </pic:blipFill>
                  <pic:spPr>
                    <a:xfrm>
                      <a:off x="0" y="0"/>
                      <a:ext cx="5760720" cy="4800600"/>
                    </a:xfrm>
                    <a:prstGeom prst="rect"/>
                  </pic:spPr>
                </pic:pic>
              </a:graphicData>
            </a:graphic>
          </wp:inline>
        </w:drawing>
      </w:r>
    </w:p>
    <w:p>
      <w:r>
        <w:rPr>
          <w:b/>
        </w:rPr>
        <w:t>*Figure 2B (16S).</w:t>
      </w:r>
      <w:r>
        <w:t xml:space="preserve"> Bacterial dysbiosis index (mean Bray-Curtis distance to ground samples, relative to ground-ground distance); elevated under flight.*</w:t>
      </w:r>
    </w:p>
    <w:p>
      <w:pPr>
        <w:jc w:val="center"/>
      </w:pPr>
      <w:r>
        <w:drawing>
          <wp:inline xmlns:a="http://schemas.openxmlformats.org/drawingml/2006/main" xmlns:pic="http://schemas.openxmlformats.org/drawingml/2006/picture">
            <wp:extent cx="5760720" cy="4800600"/>
            <wp:docPr id="4" name="Picture 4"/>
            <wp:cNvGraphicFramePr>
              <a:graphicFrameLocks noChangeAspect="1"/>
            </wp:cNvGraphicFramePr>
            <a:graphic>
              <a:graphicData uri="http://schemas.openxmlformats.org/drawingml/2006/picture">
                <pic:pic>
                  <pic:nvPicPr>
                    <pic:cNvPr id="0" name="fig2b_dysbiosis_ITS.png"/>
                    <pic:cNvPicPr/>
                  </pic:nvPicPr>
                  <pic:blipFill>
                    <a:blip r:embed="rId12"/>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(BH-adjusted p &lt; 0.05 and |effect| &gt; 1), all of them more abundant in flight. In leaf 16S, </w:t>
      </w:r>
      <w:r>
        <w:rPr>
          <w:i/>
        </w:rPr>
        <w:t>Pantoea</w:t>
      </w:r>
      <w:r>
        <w:t xml:space="preserve"> (ASV024) was enriched in flight (effect=+1.10). In ITS, </w:t>
      </w:r>
      <w:r>
        <w:rPr>
          <w:i/>
        </w:rPr>
        <w:t>Penicillium citrinum</w:t>
      </w:r>
      <w:r>
        <w:t xml:space="preserve"> (ASV003) was enriched in flight leaves (effect=+1.82). In adventitious roots, </w:t>
      </w:r>
      <w:r>
        <w:rPr>
          <w:i/>
        </w:rPr>
        <w:t>Fusarium solani</w:t>
      </w:r>
      <w:r>
        <w:t xml:space="preserve"> (ITS ASV006; effect=+1.82) and three bacterial taxa (16S ASV004, </w:t>
      </w:r>
      <w:r>
        <w:rPr>
          <w:i/>
        </w:rPr>
        <w:t>Burkholderia-Caballeronia-Paraburkholderia</w:t>
      </w:r>
      <w:r>
        <w:t xml:space="preserve">, +1.58; ASV021, Rhizobiaceae, +3.25; ASV022, </w:t>
      </w:r>
      <w:r>
        <w:rPr>
          <w:i/>
        </w:rPr>
        <w:t>Dyadobacter</w:t>
      </w:r>
      <w:r>
        <w:t>, +2.22) were enriched in flight.</w:t>
      </w:r>
    </w:p>
    <w:p>
      <w:pPr>
        <w:pStyle w:val="Heading2"/>
      </w:pPr>
      <w:r>
        <w:t>Spaceflight transcriptional response is light-dependent</w:t>
      </w:r>
    </w:p>
    <w:p>
      <w:r>
        <w:t>DESeq2 analysis revealed a pronounced interaction between spaceflight and light quality (Table S2). In leaves, the flight term of the flight × light model, which estimates the flight effect under red-rich light (the reference level), gave 757 DEGs (404 up, 353 down; Fig. 3B). Separate models within each light treatment gave 4,716 DEGs under blue-rich light and 523 under red-rich light (Fig. 3); the two red-rich estimates differ because they come from different models. The formal interaction term identified 3,189 DEGs, confirming that the transcriptional response to spaceflight is strongly modulated by light quality.</w:t>
      </w:r>
    </w:p>
    <w:p>
      <w:r>
        <w:t>In adventitious roots, the flight term (red-rich reference level) was predominantly upregulation (896 DEGs: 783 up, 113 down, 87% upregulated; Fig. 3C),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3_deg_summary.png"/>
                    <pic:cNvPicPr/>
                  </pic:nvPicPr>
                  <pic:blipFill>
                    <a:blip r:embed="rId13"/>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b_volcano_leaf_flight.png"/>
                    <pic:cNvPicPr/>
                  </pic:nvPicPr>
                  <pic:blipFill>
                    <a:blip r:embed="rId14"/>
                    <a:stretch>
                      <a:fillRect/>
                    </a:stretch>
                  </pic:blipFill>
                  <pic:spPr>
                    <a:xfrm>
                      <a:off x="0" y="0"/>
                      <a:ext cx="5760720" cy="4937760"/>
                    </a:xfrm>
                    <a:prstGeom prst="rect"/>
                  </pic:spPr>
                </pic:pic>
              </a:graphicData>
            </a:graphic>
          </wp:inline>
        </w:drawing>
      </w:r>
    </w:p>
    <w:p>
      <w:r>
        <w:rPr>
          <w:b/>
        </w:rPr>
        <w:t>*Figure 3B.</w:t>
      </w:r>
      <w:r>
        <w:t xml:space="preserve"> Leaf Flight-vs-Ground volcano (flight term of the flight × light model: the flight effect under red-rich light, the reference level).*</w:t>
      </w:r>
    </w:p>
    <w:p>
      <w:pPr>
        <w:jc w:val="center"/>
      </w:pPr>
      <w:r>
        <w:drawing>
          <wp:inline xmlns:a="http://schemas.openxmlformats.org/drawingml/2006/main" xmlns:pic="http://schemas.openxmlformats.org/drawingml/2006/picture">
            <wp:extent cx="5760720" cy="4937760"/>
            <wp:docPr id="7" name="Picture 7"/>
            <wp:cNvGraphicFramePr>
              <a:graphicFrameLocks noChangeAspect="1"/>
            </wp:cNvGraphicFramePr>
            <a:graphic>
              <a:graphicData uri="http://schemas.openxmlformats.org/drawingml/2006/picture">
                <pic:pic>
                  <pic:nvPicPr>
                    <pic:cNvPr id="0" name="fig3c_volcano_advroot_flight.png"/>
                    <pic:cNvPicPr/>
                  </pic:nvPicPr>
                  <pic:blipFill>
                    <a:blip r:embed="rId15"/>
                    <a:stretch>
                      <a:fillRect/>
                    </a:stretch>
                  </pic:blipFill>
                  <pic:spPr>
                    <a:xfrm>
                      <a:off x="0" y="0"/>
                      <a:ext cx="5760720" cy="4937760"/>
                    </a:xfrm>
                    <a:prstGeom prst="rect"/>
                  </pic:spPr>
                </pic:pic>
              </a:graphicData>
            </a:graphic>
          </wp:inline>
        </w:drawing>
      </w:r>
    </w:p>
    <w:p>
      <w:r>
        <w:rPr>
          <w:b/>
        </w:rPr>
        <w:t>*Figure 3C.</w:t>
      </w:r>
      <w:r>
        <w:t xml:space="preserve"> Adventitious-root Flight-vs-Ground volcano (flight term at the red-rich reference level; predominantly upregulation).*</w:t>
      </w:r>
    </w:p>
    <w:p>
      <w:pPr>
        <w:pStyle w:val="Heading2"/>
      </w:pPr>
      <w:r>
        <w:t>WGCNA identifies a microbe-driven host transcriptional module</w:t>
      </w:r>
    </w:p>
    <w:p>
      <w:r>
        <w:t xml:space="preserve">WGCNA of the leaf transcriptome identified 12 modules plus unassigned genes (power=20; Fig. 4),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 (Table S5) </w:t>
      </w:r>
      <w:r>
        <w:rPr>
          <w:b/>
        </w:rPr>
        <w:t>[TODO: Table S5 was built from an earlier correlation table; re-derive]</w:t>
      </w:r>
      <w:r>
        <w:t>.</w:t>
      </w:r>
    </w:p>
    <w:p>
      <w:r>
        <w:t>In adventitious roots, WGCNA identified 16 modules plus unassigned genes (power=18). The key finding was the black module (n=169 genes), which was strongly correlated with ITS dysbiosis (r=−0.85, padj=0.001) but not with flight status (r=−0.38, padj=0.32). This module was classified as microbe-driven, representing a host transcriptional response to fungal community changes that is independent of the direct spaceflight stimulus. GO enrichment of the black module itself was limited — its only significantly enriched term was the cellular component "nucleus" — so it is defined here by its microbe-driven trait association rather than by a specific enriched process; the adventitious-root oxidative-stress program was instead concentrated in the larger turquoise module (see below).</w:t>
      </w:r>
    </w:p>
    <w:p>
      <w:r>
        <w:t>GO enrichment analysis of all modules revealed biologically coherent functional signatures (full results in Table S10).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2378"/>
            <wp:docPr id="8" name="Picture 8"/>
            <wp:cNvGraphicFramePr>
              <a:graphicFrameLocks noChangeAspect="1"/>
            </wp:cNvGraphicFramePr>
            <a:graphic>
              <a:graphicData uri="http://schemas.openxmlformats.org/drawingml/2006/picture">
                <pic:pic>
                  <pic:nvPicPr>
                    <pic:cNvPr id="0" name="fig4_module_traits_Leaf.png"/>
                    <pic:cNvPicPr/>
                  </pic:nvPicPr>
                  <pic:blipFill>
                    <a:blip r:embed="rId16"/>
                    <a:stretch>
                      <a:fillRect/>
                    </a:stretch>
                  </pic:blipFill>
                  <pic:spPr>
                    <a:xfrm>
                      <a:off x="0" y="0"/>
                      <a:ext cx="5760720" cy="6882378"/>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Pearson r with significance stars.*</w:t>
      </w:r>
    </w:p>
    <w:p>
      <w:pPr>
        <w:jc w:val="center"/>
      </w:pPr>
      <w:r>
        <w:drawing>
          <wp:inline xmlns:a="http://schemas.openxmlformats.org/drawingml/2006/main" xmlns:pic="http://schemas.openxmlformats.org/drawingml/2006/picture">
            <wp:extent cx="5016969" cy="7498079"/>
            <wp:docPr id="9" name="Picture 9"/>
            <wp:cNvGraphicFramePr>
              <a:graphicFrameLocks noChangeAspect="1"/>
            </wp:cNvGraphicFramePr>
            <a:graphic>
              <a:graphicData uri="http://schemas.openxmlformats.org/drawingml/2006/picture">
                <pic:pic>
                  <pic:nvPicPr>
                    <pic:cNvPr id="0" name="fig4_module_traits_AdvRoot.png"/>
                    <pic:cNvPicPr/>
                  </pic:nvPicPr>
                  <pic:blipFill>
                    <a:blip r:embed="rId17"/>
                    <a:stretch>
                      <a:fillRect/>
                    </a:stretch>
                  </pic:blipFill>
                  <pic:spPr>
                    <a:xfrm>
                      <a:off x="0" y="0"/>
                      <a:ext cx="5016969"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 xml:space="preserve">MOFA+ integration of 21 matched leaf samples across three omics views (transcriptome: 2,000 genes; 16S: 348 ASVs; ITS: 77 ASVs) identified 5 factors </w:t>
      </w:r>
      <w:r>
        <w:rPr>
          <w:b/>
        </w:rPr>
        <w:t>[TODO: the 16S and ITS views were built from mismatched samples (tissue not matched, columns misordered); the microbiome variance fractions and Factor 2–3 associations need re-running]</w:t>
      </w:r>
      <w:r>
        <w:t>. Factor 1 was the dominant signal, explaining 48.0% of transcriptome variance, 12.0% of 16S variance, and 3.0% of ITS variance (Fig. 5A). Factor 1 was significantly correlated with flight status (Spearman ρ=−0.76, padj=0.001; Fig. 5B),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 (Fig. S6).</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ig5a_mofa_variance.png"/>
                    <pic:cNvPicPr/>
                  </pic:nvPicPr>
                  <pic:blipFill>
                    <a:blip r:embed="rId18"/>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1" name="Picture 11"/>
            <wp:cNvGraphicFramePr>
              <a:graphicFrameLocks noChangeAspect="1"/>
            </wp:cNvGraphicFramePr>
            <a:graphic>
              <a:graphicData uri="http://schemas.openxmlformats.org/drawingml/2006/picture">
                <pic:pic>
                  <pic:nvPicPr>
                    <pic:cNvPr id="0" name="fig5b_mofa_correlations.png"/>
                    <pic:cNvPicPr/>
                  </pic:nvPicPr>
                  <pic:blipFill>
                    <a:blip r:embed="rId19"/>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(ρ=−0.76).*</w:t>
      </w:r>
    </w:p>
    <w:p>
      <w:pPr>
        <w:pStyle w:val="Heading2"/>
      </w:pPr>
      <w:r>
        <w:t>Module-taxon correlations link host modules to specific bacteria</w:t>
      </w:r>
    </w:p>
    <w:p>
      <w:r>
        <w:t xml:space="preserve">Bipartite correlation networks identified 29 significant module-taxon relationships (BH padj &lt; 0.05), predominantly in leaf 16S (28 of 29; Fig. 6; Table S9). The flight-associated turquoise module positively correlated with </w:t>
      </w:r>
      <w:r>
        <w:rPr>
          <w:i/>
        </w:rPr>
        <w:t>Methylobacterium-Methylorubrum</w:t>
      </w:r>
      <w:r>
        <w:t xml:space="preserve"> (ρ=+0.76, padj=0.003),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528087"/>
            <wp:docPr id="12" name="Picture 12"/>
            <wp:cNvGraphicFramePr>
              <a:graphicFrameLocks noChangeAspect="1"/>
            </wp:cNvGraphicFramePr>
            <a:graphic>
              <a:graphicData uri="http://schemas.openxmlformats.org/drawingml/2006/picture">
                <pic:pic>
                  <pic:nvPicPr>
                    <pic:cNvPr id="0" name="fig6_module_taxon_network.png"/>
                    <pic:cNvPicPr/>
                  </pic:nvPicPr>
                  <pic:blipFill>
                    <a:blip r:embed="rId20"/>
                    <a:stretch>
                      <a:fillRect/>
                    </a:stretch>
                  </pic:blipFill>
                  <pic:spPr>
                    <a:xfrm>
                      <a:off x="0" y="0"/>
                      <a:ext cx="5760720" cy="4528087"/>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Predicted bacterial functions</w:t>
      </w:r>
    </w:p>
    <w:p>
      <w:r>
        <w:t xml:space="preserve">FAPROTAX assigned bacterial ASVs to 26 functional categories (Table S6). By read count the largest were aerobic chemoheterotrophy (787,792 reads, 185 taxa), nitrogen fixation (164,614 reads, 12 taxa), dark hydrogen oxidation (103,694 reads, 20 taxa), methanol oxidation (96,687 reads, 15 taxa) and methanotrophy (96,514 reads, 15 taxa) (Fig. 7). The methanol oxidation and methanotrophy assignments were primarily </w:t>
      </w:r>
      <w:r>
        <w:rPr>
          <w:i/>
        </w:rPr>
        <w:t>Methylobacterium-Methylorubrum</w:t>
      </w:r>
      <w:r>
        <w:t xml:space="preserve">, the same genus showing the strongest positive correlation with the flight-associated WGCNA module </w:t>
      </w:r>
      <w:r>
        <w:rPr>
          <w:b/>
        </w:rPr>
        <w:t>[TODO: the FAPROTAX collapse misparses three database lines, moving 31 ASVs into spurious categories, and matches taxon names as substrings (*Methylobacterium* is a methylotroph, not a methanotroph); re-run with a corrected parser]</w:t>
      </w:r>
      <w:r>
        <w:t>.</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 (Table S7).</w:t>
      </w:r>
    </w:p>
    <w:p>
      <w:pPr>
        <w:jc w:val="center"/>
      </w:pPr>
      <w:r>
        <w:drawing>
          <wp:inline xmlns:a="http://schemas.openxmlformats.org/drawingml/2006/main" xmlns:pic="http://schemas.openxmlformats.org/drawingml/2006/picture">
            <wp:extent cx="5760720" cy="4320540"/>
            <wp:docPr id="13" name="Picture 13"/>
            <wp:cNvGraphicFramePr>
              <a:graphicFrameLocks noChangeAspect="1"/>
            </wp:cNvGraphicFramePr>
            <a:graphic>
              <a:graphicData uri="http://schemas.openxmlformats.org/drawingml/2006/picture">
                <pic:pic>
                  <pic:nvPicPr>
                    <pic:cNvPr id="0" name="fig7_faprotax.png"/>
                    <pic:cNvPicPr/>
                  </pic:nvPicPr>
                  <pic:blipFill>
                    <a:blip r:embed="rId21"/>
                    <a:stretch>
                      <a:fillRect/>
                    </a:stretch>
                  </pic:blipFill>
                  <pic:spPr>
                    <a:xfrm>
                      <a:off x="0" y="0"/>
                      <a:ext cx="5760720" cy="4320540"/>
                    </a:xfrm>
                    <a:prstGeom prst="rect"/>
                  </pic:spPr>
                </pic:pic>
              </a:graphicData>
            </a:graphic>
          </wp:inline>
        </w:drawing>
      </w:r>
    </w:p>
    <w:p>
      <w:r>
        <w:rPr>
          <w:b/>
        </w:rPr>
        <w:t>*Figure 7.</w:t>
      </w:r>
      <w:r>
        <w:t xml:space="preserve"> FAPROTAX predicted bacterial functions (aerobic chemoheterotrophy, N fixation, methanotrophy, methanol oxidation).*</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padj=0.32) indicates that the host transcriptional response in this module is driven by microbial community changes rather than directly by the spaceflight environment. Although the black module's own GO enrichment was limited (its only enriched term was "nucleus"), the broader adventitious-root oxidative-stress program — concentrated in the larger turquoise module — together with the black module's tight coupling to fungal dysbiosis suggests that fungal community restructuring may trigger host defense and redox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n=1–6 per flight × light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metatranscriptomic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(mean Bray-Curtis distance to ground samples, relative to ground-ground distance);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 (flight term of the flight × light model: the flight effect under red-rich light, the reference level).</w:t>
      </w:r>
    </w:p>
    <w:p>
      <w:pPr>
        <w:pStyle w:val="ListBullet"/>
      </w:pPr>
      <w:r>
        <w:rPr>
          <w:b/>
        </w:rPr>
        <w:t>Figure 3C.</w:t>
      </w:r>
      <w:r>
        <w:t xml:space="preserve"> Adventitious-root Flight-vs-Ground volcano (flight term at the red-rich reference level; predominantly upregulation).</w:t>
      </w:r>
    </w:p>
    <w:p>
      <w:pPr>
        <w:pStyle w:val="ListBullet"/>
      </w:pPr>
      <w:r>
        <w:rPr>
          <w:b/>
        </w:rPr>
        <w:t>Figure 4 (Leaf).</w:t>
      </w:r>
      <w:r>
        <w:t xml:space="preserve"> WGCNA module–trait correlations (flight, light, 16S/ITS dysbiosis). Each module is labelled with its dominant GO biology (Table 1); cells show Pearson r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Structure and functions of the bacterial microbiota of plants. </w:t>
      </w:r>
      <w:r>
        <w:rPr>
          <w:i/>
        </w:rPr>
        <w:t>Annu. Rev. Plant Biol.</w:t>
      </w:r>
      <w:r>
        <w:t xml:space="preserve"> 64, 807–838 (2013).</w:t>
      </w:r>
    </w:p>
    <w:p>
      <w:r>
        <w:t xml:space="preserve">[2] TODO: citation needed. The reference previously listed here (Wheeler, R.M. et al., </w:t>
      </w:r>
      <w:r>
        <w:rPr>
          <w:i/>
        </w:rPr>
        <w:t>Adv. Space Res.</w:t>
      </w:r>
      <w:r>
        <w:t xml:space="preserve"> 41, 1057–1066, 2008) matches no published record.</w:t>
      </w:r>
    </w:p>
    <w:p>
      <w:r>
        <w:t xml:space="preserve">[3] Spern, C.J. et al. The microbial communities of a tomato crop grown in Veggie under different lighting regimes on the International Space Station. </w:t>
      </w:r>
      <w:r>
        <w:rPr>
          <w:i/>
        </w:rPr>
        <w:t>Life Sci. Space Res.</w:t>
      </w:r>
      <w:r>
        <w:t xml:space="preserve"> 52, 84–97 (2026).</w:t>
      </w:r>
    </w:p>
    <w:p>
      <w:r>
        <w:t xml:space="preserve">[4] TODO: citation needed. The reference previously listed here (Rosenzweig, J.A. et al., </w:t>
      </w:r>
      <w:r>
        <w:rPr>
          <w:i/>
        </w:rPr>
        <w:t>npj Microgravity</w:t>
      </w:r>
      <w:r>
        <w:t xml:space="preserve"> 1, 15009, 2015) matches no published record.</w:t>
      </w:r>
    </w:p>
    <w:p>
      <w:r>
        <w:t xml:space="preserve">[5] TODO: citation needed. The reference previously listed here (Voorhies, A.A. et al., </w:t>
      </w:r>
      <w:r>
        <w:rPr>
          <w:i/>
        </w:rPr>
        <w:t>PLoS ONE</w:t>
      </w:r>
      <w:r>
        <w:t xml:space="preserve"> 14, e0224893, 2019) matches no published record.</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improved data processing and web-based tools.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ectomycorrhizal fungi. </w:t>
      </w:r>
      <w:r>
        <w:rPr>
          <w:i/>
        </w:rPr>
        <w:t>New Phytol.</w:t>
      </w:r>
      <w:r>
        <w:t xml:space="preserve"> 166, 1063–1068 (2005).</w:t>
      </w:r>
    </w:p>
    <w:p>
      <w:r>
        <w:t xml:space="preserve">[12] Love, M.I. et al. Moderated estimation of fold change and dispersion for RNA-seq data with DESeq2. </w:t>
      </w:r>
      <w:r>
        <w:rPr>
          <w:i/>
        </w:rPr>
        <w:t>Genome Biol.</w:t>
      </w:r>
      <w:r>
        <w:t xml:space="preserve"> 15, 550 (2014).</w:t>
      </w:r>
    </w:p>
    <w:p>
      <w:r>
        <w:t xml:space="preserve">[13] Zhu, A., Ibrahim, J.G. &amp; Love, M.I. Heavy-tailed prior distributions for sequence count data: removing the noise and preserving large differences. </w:t>
      </w:r>
      <w:r>
        <w:rPr>
          <w:i/>
        </w:rPr>
        <w:t>Bioinformatics</w:t>
      </w:r>
      <w:r>
        <w:t xml:space="preserve"> 35, 2084–2092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(2026).</w:t>
      </w:r>
    </w:p>
    <w:p>
      <w:r>
        <w:t xml:space="preserve">[17] Fernandes, A.D. et al. Unifying the analysis of high-throughput sequencing datasets: characterizing RNA-seq, 16S rRNA gene sequencing and selective growth experiments by compositional data analysis. </w:t>
      </w:r>
      <w:r>
        <w:rPr>
          <w:i/>
        </w:rPr>
        <w:t>Microbiome</w:t>
      </w:r>
      <w:r>
        <w:t xml:space="preserve"> 2, 15 (2014).</w:t>
      </w:r>
    </w:p>
    <w:p>
      <w:r>
        <w:t xml:space="preserve">[18] Yu, G. et al. clusterProfiler: an R package for comparing biological themes among gene clusters. </w:t>
      </w:r>
      <w:r>
        <w:rPr>
          <w:i/>
        </w:rPr>
        <w:t>OMICS</w:t>
      </w:r>
      <w:r>
        <w:t xml:space="preserve"> 16, 284–287 (2012).</w:t>
      </w:r>
    </w:p>
    <w:p>
      <w:r>
        <w:t xml:space="preserve">[19] Louca, S., Parfrey, L.W. &amp; Doebeli, M. Decoupling function and taxonomy in the global ocean microbiome. </w:t>
      </w:r>
      <w:r>
        <w:rPr>
          <w:i/>
        </w:rPr>
        <w:t>Science</w:t>
      </w:r>
      <w:r>
        <w:t xml:space="preserve"> 353, 1272–1277 (2016).</w:t>
      </w:r>
    </w:p>
    <w:p>
      <w:r>
        <w:t xml:space="preserve">[20] Nguyen, N.H. et al. FUNGuild: an open annotation tool for parsing fungal community datasets by ecological guild. </w:t>
      </w:r>
      <w:r>
        <w:rPr>
          <w:i/>
        </w:rPr>
        <w:t>Fungal Ecol.</w:t>
      </w:r>
      <w:r>
        <w:t xml:space="preserve"> 20, 241–248 (2016).</w:t>
      </w:r>
    </w:p>
    <w:p>
      <w:r>
        <w:t xml:space="preserve">[21] Voorhies, A.A. et al. Study of the impact of long-duration space missions at the International Space Station on the astronaut microbiome. </w:t>
      </w:r>
      <w:r>
        <w:rPr>
          <w:i/>
        </w:rPr>
        <w:t>Sci. Rep.</w:t>
      </w:r>
      <w:r>
        <w:t xml:space="preserve"> 9, 9911 (2019).</w:t>
      </w:r>
    </w:p>
    <w:p>
      <w:r>
        <w:t xml:space="preserve">[22] Chaves, I. et al. The cryptochromes: blue light photoreceptors in plants and animals. </w:t>
      </w:r>
      <w:r>
        <w:rPr>
          <w:i/>
        </w:rPr>
        <w:t>Annu. Rev. Plant Biol.</w:t>
      </w:r>
      <w:r>
        <w:t xml:space="preserve"> 62, 335–364 (2011).</w:t>
      </w:r>
    </w:p>
    <w:p>
      <w:r>
        <w:t xml:space="preserve">[23] Dixit, A.R. et al. Stress and light spectral quality influence the transcriptome of a tomato crop on the International Space Station. </w:t>
      </w:r>
      <w:r>
        <w:rPr>
          <w:i/>
        </w:rPr>
        <w:t>BMC Plant Biol.</w:t>
      </w:r>
      <w:r>
        <w:t xml:space="preserve"> 26, 764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