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(red-rich vs. blue-rich LED). DADA2 processing yielded 348 bacterial and 78 fungal ASVs from 142 and 141 samples respectively. Spaceflight accounted for 28% of the variation in leaf bacterial community composition (PERMANOVA, p=0.001), and flight samples had higher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padj=0.009) but not with flight status (r=−0.38, padj=0.32), representing a microbe-driven host transcriptional signature independent of the direct spaceflight stimulus. MOFA+ integration of 18 leaf samples across three omics layers found a dominant flight-associated factor (44% of transcriptome variance). The most abundant FAPROTAX-predicted bacterial functions were (aerobic) chemoheterotrophy, nitrogen fixation and ureolysis.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 23].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(Fig. 1).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jc w:val="center"/>
      </w:pPr>
      <w:r>
        <w:drawing>
          <wp:inline xmlns:a="http://schemas.openxmlformats.org/drawingml/2006/main" xmlns:pic="http://schemas.openxmlformats.org/drawingml/2006/picture">
            <wp:extent cx="5760720" cy="2978317"/>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760720" cy="2978317"/>
                    </a:xfrm>
                    <a:prstGeom prst="rect"/>
                  </pic:spPr>
                </pic:pic>
              </a:graphicData>
            </a:graphic>
          </wp:inline>
        </w:drawing>
      </w:r>
    </w:p>
    <w:p>
      <w:r>
        <w:rPr>
          <w:b/>
        </w:rPr>
        <w:t>*Figure 1. Study design and analysis overview.</w:t>
      </w:r>
      <w:r>
        <w:t xml:space="preserve"> The ISS VEG-05 experiment (tomato cv. Red Robin; Flight vs Ground; red-rich vs blue-rich LED; leaf and adventitious root) feeds two data streams — host transcriptome (OSD-767) and microbiome (OSD-766) — that are combined through DESeq2, WGCNA, a dysbiosis index, MOFA+, and module–taxon networks.*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[3]) and OSD-767 (host RNA-seq [23]). The VEG-05 experiment grew tomato cv. Red Robin aboard the ISS under red-rich (90% red:10% blue) or blue-rich (50% red:50% blue) LED lighting, with ground controls at Kennedy Space Center. Metadata were parsed from ISA-Tab format, and a crosswalk table linking microbiome and RNA-seq samples by plant ID, flight status, light treatment, and tissue was constructed. OSD-766 labels the adventitious-root samples of ground plants SN02, SN04 and SN05 blue-rich, whereas it labels those plants' leaf samples red-rich and OSD-767 names their root RNA-seq samples Red; these three samples were treated as red-rich.</w:t>
      </w:r>
    </w:p>
    <w:p>
      <w:pPr>
        <w:pStyle w:val="Heading2"/>
      </w:pPr>
      <w:r>
        <w:t>Microbiome amplicon processing</w:t>
      </w:r>
    </w:p>
    <w:p>
      <w:r>
        <w:t>16S rRNA (V4 region, 515F/806R primers) and ITS2 (ITS3F/ITS4 primers) reads were processed using DADA2 v1.40.0 [8] in R. For 16S, primers were already removed; reads were truncated at 240 bp (R1) and 160 bp (R2) with maxEE=2, length-filtered to 200–260 bp, and pooled for denoising. Taxonomy was assigned against SILVA 138.1 [9]. Chloroplast and mitochondrial ASVs were removed prior to community analysis. For ITS, primers were removed with cutadapt [10]; R2 reads were truncated at 180 bp due to quality degradation; taxonomy was assigned against the UNITE v7.2 QIIME release (1 December 2017, 99% clusters) [11]. Taxonomy was assigned with a fixed random seed and DADA2's default 50% bootstrap threshold.</w:t>
      </w:r>
    </w:p>
    <w:p>
      <w:pPr>
        <w:pStyle w:val="Heading2"/>
      </w:pPr>
      <w:r>
        <w:t>Differential expression analysis</w:t>
      </w:r>
    </w:p>
    <w:p>
      <w:r>
        <w:t>RNA-seq count matrices were analyzed with DESeq2 [12] separately for leaf (21 samples) and adventitious root (15 samples; Table S1). The design model included flight status, light treatment, and their interaction. Each main effect is the effect of one factor averaged over both levels of the other. Log-fold changes were shrunk with ashr [14] for the main effects and the within-light contrasts, and with apeglm [13] for the interaction term.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terms added sequentially: flight, light, flight × light) using vegan [16]. A dysbiosis index was calculated for each flight sample as its mean Bray-Curtis distance to all ground samples of the same compartment (both light treatments), divided by the mean pairwise distance among those ground samples. Differential abundance testing used ALDEx2 [17] with 128 Monte Carlo instances, requiring both a Benjamini–Hochberg-adjusted Welch p &lt; 0.05 and |effect size| &gt; 1; positive effects are higher in flight.</w:t>
      </w:r>
    </w:p>
    <w:p>
      <w:pPr>
        <w:pStyle w:val="Heading2"/>
      </w:pPr>
      <w:r>
        <w:t>WGCNA co-expression networks</w:t>
      </w:r>
    </w:p>
    <w:p>
      <w:r>
        <w:t>WGCNA [7] was applied to variance-stabilized transcriptome data for each tissue separately. Soft-thresholding powers were selected to maximize scale-free fit (Leaf: power=20, R²=0.72; Adv-Root: power=18, R²=0.69). Module eigengenes were correlated (Pearson) with flight status, light treatment, and the 16S/ITS dysbiosis indices of the same plant and tissue. A ground sample's index is its mean Bray-Curtis distance to the other ground samples of its compartment, over the same denominator, so ground indices average 1. Dysbiosis indices exist for 21 (16S) and 18 (ITS) of the 21 leaf samples and for 15 and 12 of the 15 adventitious-root samples; each correlation's p-value uses that number of samples. Hub genes were the 10 genes with the highest module membership (kME) in each module (all kME ≥ 0.86).</w:t>
      </w:r>
    </w:p>
    <w:p>
      <w:pPr>
        <w:pStyle w:val="Heading2"/>
      </w:pPr>
      <w:r>
        <w:t>MOFA+ multi-omics integration</w:t>
      </w:r>
    </w:p>
    <w:p>
      <w:r>
        <w:t>MOFA2 [6] was trained on the 18 leaf samples with RNA-seq, 16S and ITS data from the same leaf, in three views: transcriptome (2,000 most variable genes), 16S (the 101 bacterial ASVs detected in those samples), and ITS (40 fungal ASVs). The model was trained with 5 factors and default priors. Factor-trait correlations were computed using Spearman's rank correlation with BH correction.</w:t>
      </w:r>
    </w:p>
    <w:p>
      <w:pPr>
        <w:pStyle w:val="Heading2"/>
      </w:pPr>
      <w:r>
        <w:t>Correlation networks and directionality inference</w:t>
      </w:r>
    </w:p>
    <w:p>
      <w:r>
        <w:t>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(18,479 annotated genes).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for the 348 bacterial ASVs using FAPROTAX 1.2.12 [19] and its collapse_table.py with default settings (whole-word taxon matching). Fungal ecological guilds were assigned using genus-level lookup tables based on FUNGuild [20] categories.</w:t>
      </w:r>
    </w:p>
    <w:p>
      <w:pPr>
        <w:pStyle w:val="Heading2"/>
      </w:pPr>
      <w:r>
        <w:t>Data and code availability</w:t>
      </w:r>
    </w:p>
    <w:p>
      <w:r>
        <w:t>All analysis code is available at https://github.com/dr-richard-barker/veg05-integrated-omics.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78 fungal ASVs (156,102 reads, 15.4% of primer-trimmed reads); 121 of the 141 samples retained reads.</w:t>
      </w:r>
    </w:p>
    <w:p>
      <w:r>
        <w:t>Spaceflight changed bacterial community composition in leaves (PERMANOVA flight term: R²=0.28, F=8.24, p=0.001, n=21) and adventitious roots (R²=0.29, F=5.90, p=0.001, n=15; Table S4). Light quality had no significant main effect in either tissue, but the flight × light interaction did (leaf R²=0.11, p=0.035; root R²=0.11, p=0.027). In leaves, bacterial alpha diversity was higher in flight samples: Observed ASVs ranged from 17.8–25.8 in flight versus 10.0–15.2 in ground controls (Fig. 2A; Table S3).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ig2a_alpha_diversity_16S.png"/>
                    <pic:cNvPicPr/>
                  </pic:nvPicPr>
                  <pic:blipFill>
                    <a:blip r:embed="rId10"/>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3.69 ± 2.78 vs. 1.00 ± 0.22), and spaceflight changed leaf fungal composition (flight term R²=0.36, F=9.35, p=0.007, n=18). Adventitious root fungal community composition differed by flight (R²=0.40, F=13.1, p=0.001), light (R²=0.19, p=0.005) and their interaction (R²=0.16, p=0.006; n=12).</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16S.png"/>
                    <pic:cNvPicPr/>
                  </pic:nvPicPr>
                  <pic:blipFill>
                    <a:blip r:embed="rId11"/>
                    <a:stretch>
                      <a:fillRect/>
                    </a:stretch>
                  </pic:blipFill>
                  <pic:spPr>
                    <a:xfrm>
                      <a:off x="0" y="0"/>
                      <a:ext cx="5760720" cy="4800600"/>
                    </a:xfrm>
                    <a:prstGeom prst="rect"/>
                  </pic:spPr>
                </pic:pic>
              </a:graphicData>
            </a:graphic>
          </wp:inline>
        </w:drawing>
      </w:r>
    </w:p>
    <w:p>
      <w:r>
        <w:rPr>
          <w:b/>
        </w:rPr>
        <w:t>*Figure 2B (16S).</w:t>
      </w:r>
      <w:r>
        <w:t xml:space="preserve"> Bacterial dysbiosis index (mean Bray-Curtis distance to ground samples, relative to ground-ground distance); elevated under flight.*</w:t>
      </w:r>
    </w:p>
    <w:p>
      <w:pPr>
        <w:jc w:val="center"/>
      </w:pPr>
      <w:r>
        <w:drawing>
          <wp:inline xmlns:a="http://schemas.openxmlformats.org/drawingml/2006/main" xmlns:pic="http://schemas.openxmlformats.org/drawingml/2006/picture">
            <wp:extent cx="5760720" cy="4800600"/>
            <wp:docPr id="4" name="Picture 4"/>
            <wp:cNvGraphicFramePr>
              <a:graphicFrameLocks noChangeAspect="1"/>
            </wp:cNvGraphicFramePr>
            <a:graphic>
              <a:graphicData uri="http://schemas.openxmlformats.org/drawingml/2006/picture">
                <pic:pic>
                  <pic:nvPicPr>
                    <pic:cNvPr id="0" name="fig2b_dysbiosis_ITS.png"/>
                    <pic:cNvPicPr/>
                  </pic:nvPicPr>
                  <pic:blipFill>
                    <a:blip r:embed="rId12"/>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(BH-adjusted p &lt; 0.05 and |effect| &gt; 1), all of them more abundant in flight. In leaf 16S, an Erwiniaceae ASV (ASV024; assigned to </w:t>
      </w:r>
      <w:r>
        <w:rPr>
          <w:i/>
        </w:rPr>
        <w:t>Pantoea</w:t>
      </w:r>
      <w:r>
        <w:t xml:space="preserve"> with 49% bootstrap support, just below the 50% threshold) was enriched in flight (effect=+1.10). In ITS, </w:t>
      </w:r>
      <w:r>
        <w:rPr>
          <w:i/>
        </w:rPr>
        <w:t>Penicillium citrinum</w:t>
      </w:r>
      <w:r>
        <w:t xml:space="preserve"> (ASV003) was enriched in flight leaves (effect=+1.90). In adventitious roots, three bacterial taxa (16S ASV004, </w:t>
      </w:r>
      <w:r>
        <w:rPr>
          <w:i/>
        </w:rPr>
        <w:t>Burkholderia-Caballeronia-Paraburkholderia</w:t>
      </w:r>
      <w:r>
        <w:t xml:space="preserve">, +1.58; ASV021, Rhizobiaceae, +3.25; ASV022, </w:t>
      </w:r>
      <w:r>
        <w:rPr>
          <w:i/>
        </w:rPr>
        <w:t>Dyadobacter</w:t>
      </w:r>
      <w:r>
        <w:t xml:space="preserve">, +2.22) were enriched in flight. A </w:t>
      </w:r>
      <w:r>
        <w:rPr>
          <w:i/>
        </w:rPr>
        <w:t>Fusarium</w:t>
      </w:r>
      <w:r>
        <w:t xml:space="preserve"> ASV (ITS ASV006) had a similar effect in roots (+1.91) but did not pass the threshold (BH-adjusted p=0.053).</w:t>
      </w:r>
    </w:p>
    <w:p>
      <w:pPr>
        <w:pStyle w:val="Heading2"/>
      </w:pPr>
      <w:r>
        <w:t>Spaceflight transcriptional response is light-dependent</w:t>
      </w:r>
    </w:p>
    <w:p>
      <w:r>
        <w:t>DESeq2 analysis revealed a pronounced interaction between spaceflight and light quality (Table S2). In leaves, the flight main effect (the flight effect averaged over the two light treatments) gave 2,683 DEGs (1,368 up, 1,315 down; Fig. 3B). Separate models within each light treatment gave 4,716 DEGs under blue-rich light and 523 under red-rich light (Fig. 3). The formal interaction term identified 3,189 DEGs, confirming that the transcriptional response to spaceflight is strongly modulated by light quality.</w:t>
      </w:r>
    </w:p>
    <w:p>
      <w:r>
        <w:t>In adventitious roots, the flight main effect was predominantly upregulation (1,501 DEGs: 1,245 up, 256 down, 83% upregulated; Fig. 3C),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5" name="Picture 5"/>
            <wp:cNvGraphicFramePr>
              <a:graphicFrameLocks noChangeAspect="1"/>
            </wp:cNvGraphicFramePr>
            <a:graphic>
              <a:graphicData uri="http://schemas.openxmlformats.org/drawingml/2006/picture">
                <pic:pic>
                  <pic:nvPicPr>
                    <pic:cNvPr id="0" name="fig3_deg_summary.png"/>
                    <pic:cNvPicPr/>
                  </pic:nvPicPr>
                  <pic:blipFill>
                    <a:blip r:embed="rId13"/>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b_volcano_leaf_flight.png"/>
                    <pic:cNvPicPr/>
                  </pic:nvPicPr>
                  <pic:blipFill>
                    <a:blip r:embed="rId14"/>
                    <a:stretch>
                      <a:fillRect/>
                    </a:stretch>
                  </pic:blipFill>
                  <pic:spPr>
                    <a:xfrm>
                      <a:off x="0" y="0"/>
                      <a:ext cx="5760720" cy="4937760"/>
                    </a:xfrm>
                    <a:prstGeom prst="rect"/>
                  </pic:spPr>
                </pic:pic>
              </a:graphicData>
            </a:graphic>
          </wp:inline>
        </w:drawing>
      </w:r>
    </w:p>
    <w:p>
      <w:r>
        <w:rPr>
          <w:b/>
        </w:rPr>
        <w:t>*Figure 3B.</w:t>
      </w:r>
      <w:r>
        <w:t xml:space="preserve"> Leaf Flight-vs-Ground volcano (flight main effect of the flight × light model: the flight effect averaged over the two light treatments).*</w:t>
      </w:r>
    </w:p>
    <w:p>
      <w:pPr>
        <w:jc w:val="center"/>
      </w:pPr>
      <w:r>
        <w:drawing>
          <wp:inline xmlns:a="http://schemas.openxmlformats.org/drawingml/2006/main" xmlns:pic="http://schemas.openxmlformats.org/drawingml/2006/picture">
            <wp:extent cx="5760720" cy="4937760"/>
            <wp:docPr id="7" name="Picture 7"/>
            <wp:cNvGraphicFramePr>
              <a:graphicFrameLocks noChangeAspect="1"/>
            </wp:cNvGraphicFramePr>
            <a:graphic>
              <a:graphicData uri="http://schemas.openxmlformats.org/drawingml/2006/picture">
                <pic:pic>
                  <pic:nvPicPr>
                    <pic:cNvPr id="0" name="fig3c_volcano_advroot_flight.png"/>
                    <pic:cNvPicPr/>
                  </pic:nvPicPr>
                  <pic:blipFill>
                    <a:blip r:embed="rId15"/>
                    <a:stretch>
                      <a:fillRect/>
                    </a:stretch>
                  </pic:blipFill>
                  <pic:spPr>
                    <a:xfrm>
                      <a:off x="0" y="0"/>
                      <a:ext cx="5760720" cy="4937760"/>
                    </a:xfrm>
                    <a:prstGeom prst="rect"/>
                  </pic:spPr>
                </pic:pic>
              </a:graphicData>
            </a:graphic>
          </wp:inline>
        </w:drawing>
      </w:r>
    </w:p>
    <w:p>
      <w:r>
        <w:rPr>
          <w:b/>
        </w:rPr>
        <w:t>*Figure 3C.</w:t>
      </w:r>
      <w:r>
        <w:t xml:space="preserve"> Adventitious-root Flight-vs-Ground volcano (flight main effect, averaged over the two light treatments; predominantly upregulation).*</w:t>
      </w:r>
    </w:p>
    <w:p>
      <w:pPr>
        <w:pStyle w:val="Heading2"/>
      </w:pPr>
      <w:r>
        <w:t>WGCNA identifies a microbe-driven host transcriptional module</w:t>
      </w:r>
    </w:p>
    <w:p>
      <w:r>
        <w:t>WGCNA of the leaf transcriptome identified 12 modules plus unassigned genes (power=20; Fig. 4),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 (Table S5).</w:t>
      </w:r>
    </w:p>
    <w:p>
      <w:r>
        <w:t>In adventitious roots, WGCNA identified 16 modules plus unassigned genes (power=18). The key finding was the black module (n=169 genes), which was strongly correlated with ITS dysbiosis (r=−0.85, padj=0.009, 12 plants) but not with flight status (r=−0.38, padj=0.32). The correlation holds within flight plants (r=−0.87, n=6) and within ground plants (r=−0.75, n=6), although the ITS dysbiosis index is itself higher in flight (r=0.70 with flight status). The green module (n=287; ITS r=−0.72, padj=0.044) was also classified as microbe-driven, and the turquoise module as co-regulated (flight r=+0.72; ITS r=+0.74, padj=0.044). The black module was classified as microbe-driven, representing a host transcriptional response to fungal community changes that is independent of the direct spaceflight stimulus. GO enrichment of the black module itself was limited — its only significantly enriched term was the cellular component "nucleus" — so it is defined here by its microbe-driven trait association rather than by a specific enriched process; the adventitious-root oxidative-stress program was instead concentrated in the larger turquoise module (see below).</w:t>
      </w:r>
    </w:p>
    <w:p>
      <w:r>
        <w:t>GO enrichment analysis of all modules revealed biologically coherent functional signatures (full results in Table S10).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6882378"/>
            <wp:docPr id="8" name="Picture 8"/>
            <wp:cNvGraphicFramePr>
              <a:graphicFrameLocks noChangeAspect="1"/>
            </wp:cNvGraphicFramePr>
            <a:graphic>
              <a:graphicData uri="http://schemas.openxmlformats.org/drawingml/2006/picture">
                <pic:pic>
                  <pic:nvPicPr>
                    <pic:cNvPr id="0" name="fig4_module_traits_Leaf.png"/>
                    <pic:cNvPicPr/>
                  </pic:nvPicPr>
                  <pic:blipFill>
                    <a:blip r:embed="rId16"/>
                    <a:stretch>
                      <a:fillRect/>
                    </a:stretch>
                  </pic:blipFill>
                  <pic:spPr>
                    <a:xfrm>
                      <a:off x="0" y="0"/>
                      <a:ext cx="5760720" cy="6882378"/>
                    </a:xfrm>
                    <a:prstGeom prst="rect"/>
                  </pic:spPr>
                </pic:pic>
              </a:graphicData>
            </a:graphic>
          </wp:inline>
        </w:drawing>
      </w:r>
    </w:p>
    <w:p>
      <w:r>
        <w:rPr>
          <w:b/>
        </w:rPr>
        <w:t>*Figure 4 (Leaf).</w:t>
      </w:r>
      <w:r>
        <w:t xml:space="preserve"> WGCNA module–trait correlations (flight, light, 16S/ITS dysbiosis). Each module is labelled with its dominant GO biology (Table 1); cells show Pearson r with significance stars.*</w:t>
      </w:r>
    </w:p>
    <w:p>
      <w:pPr>
        <w:jc w:val="center"/>
      </w:pPr>
      <w:r>
        <w:drawing>
          <wp:inline xmlns:a="http://schemas.openxmlformats.org/drawingml/2006/main" xmlns:pic="http://schemas.openxmlformats.org/drawingml/2006/picture">
            <wp:extent cx="5016969" cy="7498079"/>
            <wp:docPr id="9" name="Picture 9"/>
            <wp:cNvGraphicFramePr>
              <a:graphicFrameLocks noChangeAspect="1"/>
            </wp:cNvGraphicFramePr>
            <a:graphic>
              <a:graphicData uri="http://schemas.openxmlformats.org/drawingml/2006/picture">
                <pic:pic>
                  <pic:nvPicPr>
                    <pic:cNvPr id="0" name="fig4_module_traits_AdvRoot.png"/>
                    <pic:cNvPicPr/>
                  </pic:nvPicPr>
                  <pic:blipFill>
                    <a:blip r:embed="rId17"/>
                    <a:stretch>
                      <a:fillRect/>
                    </a:stretch>
                  </pic:blipFill>
                  <pic:spPr>
                    <a:xfrm>
                      <a:off x="0" y="0"/>
                      <a:ext cx="5016969" cy="7498079"/>
                    </a:xfrm>
                    <a:prstGeom prst="rect"/>
                  </pic:spPr>
                </pic:pic>
              </a:graphicData>
            </a:graphic>
          </wp:inline>
        </w:drawing>
      </w:r>
    </w:p>
    <w:p>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Heading2"/>
      </w:pPr>
      <w:r>
        <w:t>Module functional annotation (GO)</w:t>
      </w:r>
    </w:p>
    <w:p>
      <w:r>
        <w:t>To make the WGCNA module colours interpretable, each module was annotated with its dominant biology from per-module Gene Ontology enrichment (Table 1). These human-readable labels are shown alongside the module colours on the axes of Figs 4 and 6. Modules with no significant enrichment are marked accordingly.</w:t>
      </w:r>
    </w:p>
    <w:p>
      <w:r>
        <w:rPr>
          <w:b/>
        </w:rPr>
        <w:t>Table 1. GO-based functional annotation of WGCNA modules.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16"/>
              </w:rPr>
              <w:t>Tissue</w:t>
            </w:r>
          </w:p>
        </w:tc>
        <w:tc>
          <w:tcPr>
            <w:tcW w:type="dxa" w:w="2340"/>
          </w:tcPr>
          <w:p>
            <w:r/>
            <w:r>
              <w:rPr>
                <w:b/>
                <w:sz w:val="16"/>
              </w:rPr>
              <w:t>Module</w:t>
            </w:r>
          </w:p>
        </w:tc>
        <w:tc>
          <w:tcPr>
            <w:tcW w:type="dxa" w:w="2340"/>
          </w:tcPr>
          <w:p>
            <w:r/>
            <w:r>
              <w:rPr>
                <w:b/>
                <w:sz w:val="16"/>
              </w:rPr>
              <w:t>GO biology (dominant)</w:t>
            </w:r>
          </w:p>
        </w:tc>
        <w:tc>
          <w:tcPr>
            <w:tcW w:type="dxa" w:w="2340"/>
          </w:tcPr>
          <w:p>
            <w:r/>
            <w:r>
              <w:rPr>
                <w:b/>
                <w:sz w:val="16"/>
              </w:rPr>
              <w:t>Representative GO terms</w:t>
            </w:r>
          </w:p>
        </w:tc>
      </w:tr>
      <w:tr>
        <w:tc>
          <w:tcPr>
            <w:tcW w:type="dxa" w:w="2340"/>
          </w:tcPr>
          <w:p>
            <w:r/>
            <w:r>
              <w:rPr>
                <w:sz w:val="16"/>
              </w:rPr>
              <w:t>Adv-Root</w:t>
            </w:r>
          </w:p>
        </w:tc>
        <w:tc>
          <w:tcPr>
            <w:tcW w:type="dxa" w:w="2340"/>
          </w:tcPr>
          <w:p>
            <w:r/>
            <w:r>
              <w:rPr>
                <w:sz w:val="16"/>
              </w:rPr>
              <w:t>black</w:t>
            </w:r>
          </w:p>
        </w:tc>
        <w:tc>
          <w:tcPr>
            <w:tcW w:type="dxa" w:w="2340"/>
          </w:tcPr>
          <w:p>
            <w:r/>
            <w:r>
              <w:rPr>
                <w:sz w:val="16"/>
              </w:rPr>
              <w:t>Nucleus</w:t>
            </w:r>
          </w:p>
        </w:tc>
        <w:tc>
          <w:tcPr>
            <w:tcW w:type="dxa" w:w="2340"/>
          </w:tcPr>
          <w:p>
            <w:r/>
            <w:r>
              <w:rPr>
                <w:sz w:val="16"/>
              </w:rPr>
              <w:t>nucleus</w:t>
            </w:r>
          </w:p>
        </w:tc>
      </w:tr>
      <w:tr>
        <w:tc>
          <w:tcPr>
            <w:tcW w:type="dxa" w:w="2340"/>
          </w:tcPr>
          <w:p>
            <w:r/>
            <w:r>
              <w:rPr>
                <w:sz w:val="16"/>
              </w:rPr>
              <w:t>Adv-Root</w:t>
            </w:r>
          </w:p>
        </w:tc>
        <w:tc>
          <w:tcPr>
            <w:tcW w:type="dxa" w:w="2340"/>
          </w:tcPr>
          <w:p>
            <w:r/>
            <w:r>
              <w:rPr>
                <w:sz w:val="16"/>
              </w:rPr>
              <w:t>blue</w:t>
            </w:r>
          </w:p>
        </w:tc>
        <w:tc>
          <w:tcPr>
            <w:tcW w:type="dxa" w:w="2340"/>
          </w:tcPr>
          <w:p>
            <w:r/>
            <w:r>
              <w:rPr>
                <w:sz w:val="16"/>
              </w:rPr>
              <w:t>RNA processing</w:t>
            </w:r>
          </w:p>
        </w:tc>
        <w:tc>
          <w:tcPr>
            <w:tcW w:type="dxa" w:w="2340"/>
          </w:tcPr>
          <w:p>
            <w:r/>
            <w:r>
              <w:rPr>
                <w:sz w:val="16"/>
              </w:rPr>
              <w:t>protein binding; RNA binding; RNA modification</w:t>
            </w:r>
          </w:p>
        </w:tc>
      </w:tr>
      <w:tr>
        <w:tc>
          <w:tcPr>
            <w:tcW w:type="dxa" w:w="2340"/>
          </w:tcPr>
          <w:p>
            <w:r/>
            <w:r>
              <w:rPr>
                <w:sz w:val="16"/>
              </w:rPr>
              <w:t>Adv-Root</w:t>
            </w:r>
          </w:p>
        </w:tc>
        <w:tc>
          <w:tcPr>
            <w:tcW w:type="dxa" w:w="2340"/>
          </w:tcPr>
          <w:p>
            <w:r/>
            <w:r>
              <w:rPr>
                <w:sz w:val="16"/>
              </w:rPr>
              <w:t>brown</w:t>
            </w:r>
          </w:p>
        </w:tc>
        <w:tc>
          <w:tcPr>
            <w:tcW w:type="dxa" w:w="2340"/>
          </w:tcPr>
          <w:p>
            <w:r/>
            <w:r>
              <w:rPr>
                <w:sz w:val="16"/>
              </w:rPr>
              <w:t>Lipid / GTPase signalling</w:t>
            </w:r>
          </w:p>
        </w:tc>
        <w:tc>
          <w:tcPr>
            <w:tcW w:type="dxa" w:w="2340"/>
          </w:tcPr>
          <w:p>
            <w:r/>
            <w:r>
              <w:rPr>
                <w:sz w:val="16"/>
              </w:rPr>
              <w:t>ATP-dependent diacylglycerol kinase activity; phospholipase C-activati...</w:t>
            </w:r>
          </w:p>
        </w:tc>
      </w:tr>
      <w:tr>
        <w:tc>
          <w:tcPr>
            <w:tcW w:type="dxa" w:w="2340"/>
          </w:tcPr>
          <w:p>
            <w:r/>
            <w:r>
              <w:rPr>
                <w:sz w:val="16"/>
              </w:rPr>
              <w:t>Adv-Root</w:t>
            </w:r>
          </w:p>
        </w:tc>
        <w:tc>
          <w:tcPr>
            <w:tcW w:type="dxa" w:w="2340"/>
          </w:tcPr>
          <w:p>
            <w:r/>
            <w:r>
              <w:rPr>
                <w:sz w:val="16"/>
              </w:rPr>
              <w:t>cyan</w:t>
            </w:r>
          </w:p>
        </w:tc>
        <w:tc>
          <w:tcPr>
            <w:tcW w:type="dxa" w:w="2340"/>
          </w:tcPr>
          <w:p>
            <w:r/>
            <w:r>
              <w:rPr>
                <w:sz w:val="16"/>
              </w:rPr>
              <w:t>Photosynthesis (light harvesting)</w:t>
            </w:r>
          </w:p>
        </w:tc>
        <w:tc>
          <w:tcPr>
            <w:tcW w:type="dxa" w:w="2340"/>
          </w:tcPr>
          <w:p>
            <w:r/>
            <w:r>
              <w:rPr>
                <w:sz w:val="16"/>
              </w:rPr>
              <w:t>photosynthesis, light harvesting; photosynthesis; photosystem I</w:t>
            </w:r>
          </w:p>
        </w:tc>
      </w:tr>
      <w:tr>
        <w:tc>
          <w:tcPr>
            <w:tcW w:type="dxa" w:w="2340"/>
          </w:tcPr>
          <w:p>
            <w:r/>
            <w:r>
              <w:rPr>
                <w:sz w:val="16"/>
              </w:rPr>
              <w:t>Adv-Root</w:t>
            </w:r>
          </w:p>
        </w:tc>
        <w:tc>
          <w:tcPr>
            <w:tcW w:type="dxa" w:w="2340"/>
          </w:tcPr>
          <w:p>
            <w:r/>
            <w:r>
              <w:rPr>
                <w:sz w:val="16"/>
              </w:rPr>
              <w:t>green</w:t>
            </w:r>
          </w:p>
        </w:tc>
        <w:tc>
          <w:tcPr>
            <w:tcW w:type="dxa" w:w="2340"/>
          </w:tcPr>
          <w:p>
            <w:r/>
            <w:r>
              <w:rPr>
                <w:sz w:val="16"/>
              </w:rPr>
              <w:t>Cell wall biogenesis</w:t>
            </w:r>
          </w:p>
        </w:tc>
        <w:tc>
          <w:tcPr>
            <w:tcW w:type="dxa" w:w="2340"/>
          </w:tcPr>
          <w:p>
            <w:r/>
            <w:r>
              <w:rPr>
                <w:sz w:val="16"/>
              </w:rPr>
              <w:t>xyloglucan metabolic process; cell wall; xyloglucan:xyloglucosyl trans...</w:t>
            </w:r>
          </w:p>
        </w:tc>
      </w:tr>
      <w:tr>
        <w:tc>
          <w:tcPr>
            <w:tcW w:type="dxa" w:w="2340"/>
          </w:tcPr>
          <w:p>
            <w:r/>
            <w:r>
              <w:rPr>
                <w:sz w:val="16"/>
              </w:rPr>
              <w:t>Adv-Root</w:t>
            </w:r>
          </w:p>
        </w:tc>
        <w:tc>
          <w:tcPr>
            <w:tcW w:type="dxa" w:w="2340"/>
          </w:tcPr>
          <w:p>
            <w:r/>
            <w:r>
              <w:rPr>
                <w:sz w:val="16"/>
              </w:rPr>
              <w:t>greenyellow</w:t>
            </w:r>
          </w:p>
        </w:tc>
        <w:tc>
          <w:tcPr>
            <w:tcW w:type="dxa" w:w="2340"/>
          </w:tcPr>
          <w:p>
            <w:r/>
            <w:r>
              <w:rPr>
                <w:sz w:val="16"/>
              </w:rPr>
              <w:t>Microtubule / nucleus</w:t>
            </w:r>
          </w:p>
        </w:tc>
        <w:tc>
          <w:tcPr>
            <w:tcW w:type="dxa" w:w="2340"/>
          </w:tcPr>
          <w:p>
            <w:r/>
            <w:r>
              <w:rPr>
                <w:sz w:val="16"/>
              </w:rPr>
              <w:t>microtubule binding; ATP binding; nucleus</w:t>
            </w:r>
          </w:p>
        </w:tc>
      </w:tr>
      <w:tr>
        <w:tc>
          <w:tcPr>
            <w:tcW w:type="dxa" w:w="2340"/>
          </w:tcPr>
          <w:p>
            <w:r/>
            <w:r>
              <w:rPr>
                <w:sz w:val="16"/>
              </w:rPr>
              <w:t>Adv-Root</w:t>
            </w:r>
          </w:p>
        </w:tc>
        <w:tc>
          <w:tcPr>
            <w:tcW w:type="dxa" w:w="2340"/>
          </w:tcPr>
          <w:p>
            <w:r/>
            <w:r>
              <w:rPr>
                <w:sz w:val="16"/>
              </w:rPr>
              <w:t>lightcyan</w:t>
            </w:r>
          </w:p>
        </w:tc>
        <w:tc>
          <w:tcPr>
            <w:tcW w:type="dxa" w:w="2340"/>
          </w:tcPr>
          <w:p>
            <w:r/>
            <w:r>
              <w:rPr>
                <w:sz w:val="16"/>
              </w:rPr>
              <w:t>Protein phosphorylation</w:t>
            </w:r>
          </w:p>
        </w:tc>
        <w:tc>
          <w:tcPr>
            <w:tcW w:type="dxa" w:w="2340"/>
          </w:tcPr>
          <w:p>
            <w:r/>
            <w:r>
              <w:rPr>
                <w:sz w:val="16"/>
              </w:rPr>
              <w:t>protein phosphorylation; protein kinase activity; ATP binding</w:t>
            </w:r>
          </w:p>
        </w:tc>
      </w:tr>
      <w:tr>
        <w:tc>
          <w:tcPr>
            <w:tcW w:type="dxa" w:w="2340"/>
          </w:tcPr>
          <w:p>
            <w:r/>
            <w:r>
              <w:rPr>
                <w:sz w:val="16"/>
              </w:rPr>
              <w:t>Adv-Root</w:t>
            </w:r>
          </w:p>
        </w:tc>
        <w:tc>
          <w:tcPr>
            <w:tcW w:type="dxa" w:w="2340"/>
          </w:tcPr>
          <w:p>
            <w:r/>
            <w:r>
              <w:rPr>
                <w:sz w:val="16"/>
              </w:rPr>
              <w:t>magenta</w:t>
            </w:r>
          </w:p>
        </w:tc>
        <w:tc>
          <w:tcPr>
            <w:tcW w:type="dxa" w:w="2340"/>
          </w:tcPr>
          <w:p>
            <w:r/>
            <w:r>
              <w:rPr>
                <w:sz w:val="16"/>
              </w:rPr>
              <w:t>Terpenoid biosynthesis</w:t>
            </w:r>
          </w:p>
        </w:tc>
        <w:tc>
          <w:tcPr>
            <w:tcW w:type="dxa" w:w="2340"/>
          </w:tcPr>
          <w:p>
            <w:r/>
            <w:r>
              <w:rPr>
                <w:sz w:val="16"/>
              </w:rPr>
              <w:t>acyltransferase activity; terpene synthase activity; terpenoid biosynt...</w:t>
            </w:r>
          </w:p>
        </w:tc>
      </w:tr>
      <w:tr>
        <w:tc>
          <w:tcPr>
            <w:tcW w:type="dxa" w:w="2340"/>
          </w:tcPr>
          <w:p>
            <w:r/>
            <w:r>
              <w:rPr>
                <w:sz w:val="16"/>
              </w:rPr>
              <w:t>Adv-Root</w:t>
            </w:r>
          </w:p>
        </w:tc>
        <w:tc>
          <w:tcPr>
            <w:tcW w:type="dxa" w:w="2340"/>
          </w:tcPr>
          <w:p>
            <w:r/>
            <w:r>
              <w:rPr>
                <w:sz w:val="16"/>
              </w:rPr>
              <w:t>midnightblue</w:t>
            </w:r>
          </w:p>
        </w:tc>
        <w:tc>
          <w:tcPr>
            <w:tcW w:type="dxa" w:w="2340"/>
          </w:tcPr>
          <w:p>
            <w:r/>
            <w:r>
              <w:rPr>
                <w:sz w:val="16"/>
              </w:rPr>
              <w:t>Membrane transport</w:t>
            </w:r>
          </w:p>
        </w:tc>
        <w:tc>
          <w:tcPr>
            <w:tcW w:type="dxa" w:w="2340"/>
          </w:tcPr>
          <w:p>
            <w:r/>
            <w:r>
              <w:rPr>
                <w:sz w:val="16"/>
              </w:rPr>
              <w:t>transmembrane transporter activity; transmembrane transport; membrane</w:t>
            </w:r>
          </w:p>
        </w:tc>
      </w:tr>
      <w:tr>
        <w:tc>
          <w:tcPr>
            <w:tcW w:type="dxa" w:w="2340"/>
          </w:tcPr>
          <w:p>
            <w:r/>
            <w:r>
              <w:rPr>
                <w:sz w:val="16"/>
              </w:rPr>
              <w:t>Adv-Root</w:t>
            </w:r>
          </w:p>
        </w:tc>
        <w:tc>
          <w:tcPr>
            <w:tcW w:type="dxa" w:w="2340"/>
          </w:tcPr>
          <w:p>
            <w:r/>
            <w:r>
              <w:rPr>
                <w:sz w:val="16"/>
              </w:rPr>
              <w:t>pink</w:t>
            </w:r>
          </w:p>
        </w:tc>
        <w:tc>
          <w:tcPr>
            <w:tcW w:type="dxa" w:w="2340"/>
          </w:tcPr>
          <w:p>
            <w:r/>
            <w:r>
              <w:rPr>
                <w:sz w:val="16"/>
              </w:rPr>
              <w:t>Transcription / ubiquitination</w:t>
            </w:r>
          </w:p>
        </w:tc>
        <w:tc>
          <w:tcPr>
            <w:tcW w:type="dxa" w:w="2340"/>
          </w:tcPr>
          <w:p>
            <w:r/>
            <w:r>
              <w:rPr>
                <w:sz w:val="16"/>
              </w:rPr>
              <w:t>DNA-binding transcription factor activity; ubiquitin protein ligase ac...</w:t>
            </w:r>
          </w:p>
        </w:tc>
      </w:tr>
      <w:tr>
        <w:tc>
          <w:tcPr>
            <w:tcW w:type="dxa" w:w="2340"/>
          </w:tcPr>
          <w:p>
            <w:r/>
            <w:r>
              <w:rPr>
                <w:sz w:val="16"/>
              </w:rPr>
              <w:t>Adv-Root</w:t>
            </w:r>
          </w:p>
        </w:tc>
        <w:tc>
          <w:tcPr>
            <w:tcW w:type="dxa" w:w="2340"/>
          </w:tcPr>
          <w:p>
            <w:r/>
            <w:r>
              <w:rPr>
                <w:sz w:val="16"/>
              </w:rPr>
              <w:t>purple</w:t>
            </w:r>
          </w:p>
        </w:tc>
        <w:tc>
          <w:tcPr>
            <w:tcW w:type="dxa" w:w="2340"/>
          </w:tcPr>
          <w:p>
            <w:r/>
            <w:r>
              <w:rPr>
                <w:sz w:val="16"/>
              </w:rPr>
              <w:t>Cellulose biosynthesis</w:t>
            </w:r>
          </w:p>
        </w:tc>
        <w:tc>
          <w:tcPr>
            <w:tcW w:type="dxa" w:w="2340"/>
          </w:tcPr>
          <w:p>
            <w:r/>
            <w:r>
              <w:rPr>
                <w:sz w:val="16"/>
              </w:rPr>
              <w:t>cellulose synthase (UDP-forming) activity; cellulose biosynthetic proc...</w:t>
            </w:r>
          </w:p>
        </w:tc>
      </w:tr>
      <w:tr>
        <w:tc>
          <w:tcPr>
            <w:tcW w:type="dxa" w:w="2340"/>
          </w:tcPr>
          <w:p>
            <w:r/>
            <w:r>
              <w:rPr>
                <w:sz w:val="16"/>
              </w:rPr>
              <w:t>Adv-Root</w:t>
            </w:r>
          </w:p>
        </w:tc>
        <w:tc>
          <w:tcPr>
            <w:tcW w:type="dxa" w:w="2340"/>
          </w:tcPr>
          <w:p>
            <w:r/>
            <w:r>
              <w:rPr>
                <w:sz w:val="16"/>
              </w:rPr>
              <w:t>salmon</w:t>
            </w:r>
          </w:p>
        </w:tc>
        <w:tc>
          <w:tcPr>
            <w:tcW w:type="dxa" w:w="2340"/>
          </w:tcPr>
          <w:p>
            <w:r/>
            <w:r>
              <w:rPr>
                <w:sz w:val="16"/>
              </w:rPr>
              <w:t>Cell cycle / mitosis</w:t>
            </w:r>
          </w:p>
        </w:tc>
        <w:tc>
          <w:tcPr>
            <w:tcW w:type="dxa" w:w="2340"/>
          </w:tcPr>
          <w:p>
            <w:r/>
            <w:r>
              <w:rPr>
                <w:sz w:val="16"/>
              </w:rPr>
              <w:t>cyclin-dependent protein serine/threonine kinase regulator activity; m...</w:t>
            </w:r>
          </w:p>
        </w:tc>
      </w:tr>
      <w:tr>
        <w:tc>
          <w:tcPr>
            <w:tcW w:type="dxa" w:w="2340"/>
          </w:tcPr>
          <w:p>
            <w:r/>
            <w:r>
              <w:rPr>
                <w:sz w:val="16"/>
              </w:rPr>
              <w:t>Adv-Root</w:t>
            </w:r>
          </w:p>
        </w:tc>
        <w:tc>
          <w:tcPr>
            <w:tcW w:type="dxa" w:w="2340"/>
          </w:tcPr>
          <w:p>
            <w:r/>
            <w:r>
              <w:rPr>
                <w:sz w:val="16"/>
              </w:rPr>
              <w:t>turquoise</w:t>
            </w:r>
          </w:p>
        </w:tc>
        <w:tc>
          <w:tcPr>
            <w:tcW w:type="dxa" w:w="2340"/>
          </w:tcPr>
          <w:p>
            <w:r/>
            <w:r>
              <w:rPr>
                <w:sz w:val="16"/>
              </w:rPr>
              <w:t>Oxidative stress (peroxidase)</w:t>
            </w:r>
          </w:p>
        </w:tc>
        <w:tc>
          <w:tcPr>
            <w:tcW w:type="dxa" w:w="2340"/>
          </w:tcPr>
          <w:p>
            <w:r/>
            <w:r>
              <w:rPr>
                <w:sz w:val="16"/>
              </w:rPr>
              <w:t>peroxidase activity; hydrogen peroxide catabolic process; heme binding</w:t>
            </w:r>
          </w:p>
        </w:tc>
      </w:tr>
      <w:tr>
        <w:tc>
          <w:tcPr>
            <w:tcW w:type="dxa" w:w="2340"/>
          </w:tcPr>
          <w:p>
            <w:r/>
            <w:r>
              <w:rPr>
                <w:sz w:val="16"/>
              </w:rPr>
              <w:t>Leaf</w:t>
            </w:r>
          </w:p>
        </w:tc>
        <w:tc>
          <w:tcPr>
            <w:tcW w:type="dxa" w:w="2340"/>
          </w:tcPr>
          <w:p>
            <w:r/>
            <w:r>
              <w:rPr>
                <w:sz w:val="16"/>
              </w:rPr>
              <w:t>black</w:t>
            </w:r>
          </w:p>
        </w:tc>
        <w:tc>
          <w:tcPr>
            <w:tcW w:type="dxa" w:w="2340"/>
          </w:tcPr>
          <w:p>
            <w:r/>
            <w:r>
              <w:rPr>
                <w:sz w:val="16"/>
              </w:rPr>
              <w:t>Photosynthesis &amp; ribosome</w:t>
            </w:r>
          </w:p>
        </w:tc>
        <w:tc>
          <w:tcPr>
            <w:tcW w:type="dxa" w:w="2340"/>
          </w:tcPr>
          <w:p>
            <w:r/>
            <w:r>
              <w:rPr>
                <w:sz w:val="16"/>
              </w:rPr>
              <w:t>photosynthesis; ribosome; photosystem I</w:t>
            </w:r>
          </w:p>
        </w:tc>
      </w:tr>
      <w:tr>
        <w:tc>
          <w:tcPr>
            <w:tcW w:type="dxa" w:w="2340"/>
          </w:tcPr>
          <w:p>
            <w:r/>
            <w:r>
              <w:rPr>
                <w:sz w:val="16"/>
              </w:rPr>
              <w:t>Leaf</w:t>
            </w:r>
          </w:p>
        </w:tc>
        <w:tc>
          <w:tcPr>
            <w:tcW w:type="dxa" w:w="2340"/>
          </w:tcPr>
          <w:p>
            <w:r/>
            <w:r>
              <w:rPr>
                <w:sz w:val="16"/>
              </w:rPr>
              <w:t>blue</w:t>
            </w:r>
          </w:p>
        </w:tc>
        <w:tc>
          <w:tcPr>
            <w:tcW w:type="dxa" w:w="2340"/>
          </w:tcPr>
          <w:p>
            <w:r/>
            <w:r>
              <w:rPr>
                <w:sz w:val="16"/>
              </w:rPr>
              <w:t>Phosphate starvation / transport</w:t>
            </w:r>
          </w:p>
        </w:tc>
        <w:tc>
          <w:tcPr>
            <w:tcW w:type="dxa" w:w="2340"/>
          </w:tcPr>
          <w:p>
            <w:r/>
            <w:r>
              <w:rPr>
                <w:sz w:val="16"/>
              </w:rPr>
              <w:t>DNA-binding transcription factor activity; cellular response to phosph...</w:t>
            </w:r>
          </w:p>
        </w:tc>
      </w:tr>
      <w:tr>
        <w:tc>
          <w:tcPr>
            <w:tcW w:type="dxa" w:w="2340"/>
          </w:tcPr>
          <w:p>
            <w:r/>
            <w:r>
              <w:rPr>
                <w:sz w:val="16"/>
              </w:rPr>
              <w:t>Leaf</w:t>
            </w:r>
          </w:p>
        </w:tc>
        <w:tc>
          <w:tcPr>
            <w:tcW w:type="dxa" w:w="2340"/>
          </w:tcPr>
          <w:p>
            <w:r/>
            <w:r>
              <w:rPr>
                <w:sz w:val="16"/>
              </w:rPr>
              <w:t>brown</w:t>
            </w:r>
          </w:p>
        </w:tc>
        <w:tc>
          <w:tcPr>
            <w:tcW w:type="dxa" w:w="2340"/>
          </w:tcPr>
          <w:p>
            <w:r/>
            <w:r>
              <w:rPr>
                <w:sz w:val="16"/>
              </w:rPr>
              <w:t>Lignin / phenolic metabolism</w:t>
            </w:r>
          </w:p>
        </w:tc>
        <w:tc>
          <w:tcPr>
            <w:tcW w:type="dxa" w:w="2340"/>
          </w:tcPr>
          <w:p>
            <w:r/>
            <w:r>
              <w:rPr>
                <w:sz w:val="16"/>
              </w:rPr>
              <w:t>heme binding; endopeptidase inhibitor activity; cation binding</w:t>
            </w:r>
          </w:p>
        </w:tc>
      </w:tr>
      <w:tr>
        <w:tc>
          <w:tcPr>
            <w:tcW w:type="dxa" w:w="2340"/>
          </w:tcPr>
          <w:p>
            <w:r/>
            <w:r>
              <w:rPr>
                <w:sz w:val="16"/>
              </w:rPr>
              <w:t>Leaf</w:t>
            </w:r>
          </w:p>
        </w:tc>
        <w:tc>
          <w:tcPr>
            <w:tcW w:type="dxa" w:w="2340"/>
          </w:tcPr>
          <w:p>
            <w:r/>
            <w:r>
              <w:rPr>
                <w:sz w:val="16"/>
              </w:rPr>
              <w:t>green</w:t>
            </w:r>
          </w:p>
        </w:tc>
        <w:tc>
          <w:tcPr>
            <w:tcW w:type="dxa" w:w="2340"/>
          </w:tcPr>
          <w:p>
            <w:r/>
            <w:r>
              <w:rPr>
                <w:sz w:val="16"/>
              </w:rPr>
              <w:t>Protein ubiquitination</w:t>
            </w:r>
          </w:p>
        </w:tc>
        <w:tc>
          <w:tcPr>
            <w:tcW w:type="dxa" w:w="2340"/>
          </w:tcPr>
          <w:p>
            <w:r/>
            <w:r>
              <w:rPr>
                <w:sz w:val="16"/>
              </w:rPr>
              <w:t>protein ubiquitination; ubiquitin-protein transferase activity; cell s...</w:t>
            </w:r>
          </w:p>
        </w:tc>
      </w:tr>
      <w:tr>
        <w:tc>
          <w:tcPr>
            <w:tcW w:type="dxa" w:w="2340"/>
          </w:tcPr>
          <w:p>
            <w:r/>
            <w:r>
              <w:rPr>
                <w:sz w:val="16"/>
              </w:rPr>
              <w:t>Leaf</w:t>
            </w:r>
          </w:p>
        </w:tc>
        <w:tc>
          <w:tcPr>
            <w:tcW w:type="dxa" w:w="2340"/>
          </w:tcPr>
          <w:p>
            <w:r/>
            <w:r>
              <w:rPr>
                <w:sz w:val="16"/>
              </w:rPr>
              <w:t>greenyellow</w:t>
            </w:r>
          </w:p>
        </w:tc>
        <w:tc>
          <w:tcPr>
            <w:tcW w:type="dxa" w:w="2340"/>
          </w:tcPr>
          <w:p>
            <w:r/>
            <w:r>
              <w:rPr>
                <w:sz w:val="16"/>
              </w:rPr>
              <w:t>Chitinase / defense</w:t>
            </w:r>
          </w:p>
        </w:tc>
        <w:tc>
          <w:tcPr>
            <w:tcW w:type="dxa" w:w="2340"/>
          </w:tcPr>
          <w:p>
            <w:r/>
            <w:r>
              <w:rPr>
                <w:sz w:val="16"/>
              </w:rPr>
              <w:t>chitinase activity; chitin catabolic process; chitin binding</w:t>
            </w:r>
          </w:p>
        </w:tc>
      </w:tr>
      <w:tr>
        <w:tc>
          <w:tcPr>
            <w:tcW w:type="dxa" w:w="2340"/>
          </w:tcPr>
          <w:p>
            <w:r/>
            <w:r>
              <w:rPr>
                <w:sz w:val="16"/>
              </w:rPr>
              <w:t>Leaf</w:t>
            </w:r>
          </w:p>
        </w:tc>
        <w:tc>
          <w:tcPr>
            <w:tcW w:type="dxa" w:w="2340"/>
          </w:tcPr>
          <w:p>
            <w:r/>
            <w:r>
              <w:rPr>
                <w:sz w:val="16"/>
              </w:rPr>
              <w:t>magenta</w:t>
            </w:r>
          </w:p>
        </w:tc>
        <w:tc>
          <w:tcPr>
            <w:tcW w:type="dxa" w:w="2340"/>
          </w:tcPr>
          <w:p>
            <w:r/>
            <w:r>
              <w:rPr>
                <w:sz w:val="16"/>
              </w:rPr>
              <w:t>Transcription / ethylene</w:t>
            </w:r>
          </w:p>
        </w:tc>
        <w:tc>
          <w:tcPr>
            <w:tcW w:type="dxa" w:w="2340"/>
          </w:tcPr>
          <w:p>
            <w:r/>
            <w:r>
              <w:rPr>
                <w:sz w:val="16"/>
              </w:rPr>
              <w:t>regulation of DNA-templated transcription; ethylene-activated signalin...</w:t>
            </w:r>
          </w:p>
        </w:tc>
      </w:tr>
      <w:tr>
        <w:tc>
          <w:tcPr>
            <w:tcW w:type="dxa" w:w="2340"/>
          </w:tcPr>
          <w:p>
            <w:r/>
            <w:r>
              <w:rPr>
                <w:sz w:val="16"/>
              </w:rPr>
              <w:t>Leaf</w:t>
            </w:r>
          </w:p>
        </w:tc>
        <w:tc>
          <w:tcPr>
            <w:tcW w:type="dxa" w:w="2340"/>
          </w:tcPr>
          <w:p>
            <w:r/>
            <w:r>
              <w:rPr>
                <w:sz w:val="16"/>
              </w:rPr>
              <w:t>pink</w:t>
            </w:r>
          </w:p>
        </w:tc>
        <w:tc>
          <w:tcPr>
            <w:tcW w:type="dxa" w:w="2340"/>
          </w:tcPr>
          <w:p>
            <w:r/>
            <w:r>
              <w:rPr>
                <w:sz w:val="16"/>
              </w:rPr>
              <w:t>Cell wall / glucan</w:t>
            </w:r>
          </w:p>
        </w:tc>
        <w:tc>
          <w:tcPr>
            <w:tcW w:type="dxa" w:w="2340"/>
          </w:tcPr>
          <w:p>
            <w:r/>
            <w:r>
              <w:rPr>
                <w:sz w:val="16"/>
              </w:rPr>
              <w:t>cell wall; xyloglucan:xyloglucosyl transferase activity; glucan metabo...</w:t>
            </w:r>
          </w:p>
        </w:tc>
      </w:tr>
      <w:tr>
        <w:tc>
          <w:tcPr>
            <w:tcW w:type="dxa" w:w="2340"/>
          </w:tcPr>
          <w:p>
            <w:r/>
            <w:r>
              <w:rPr>
                <w:sz w:val="16"/>
              </w:rPr>
              <w:t>Leaf</w:t>
            </w:r>
          </w:p>
        </w:tc>
        <w:tc>
          <w:tcPr>
            <w:tcW w:type="dxa" w:w="2340"/>
          </w:tcPr>
          <w:p>
            <w:r/>
            <w:r>
              <w:rPr>
                <w:sz w:val="16"/>
              </w:rPr>
              <w:t>purple</w:t>
            </w:r>
          </w:p>
        </w:tc>
        <w:tc>
          <w:tcPr>
            <w:tcW w:type="dxa" w:w="2340"/>
          </w:tcPr>
          <w:p>
            <w:r/>
            <w:r>
              <w:rPr>
                <w:sz w:val="16"/>
              </w:rPr>
              <w:t>Fe–S cluster / biosynthesis</w:t>
            </w:r>
          </w:p>
        </w:tc>
        <w:tc>
          <w:tcPr>
            <w:tcW w:type="dxa" w:w="2340"/>
          </w:tcPr>
          <w:p>
            <w:r/>
            <w:r>
              <w:rPr>
                <w:sz w:val="16"/>
              </w:rPr>
              <w:t>iron-sulfur cluster binding; biosynthetic process</w:t>
            </w:r>
          </w:p>
        </w:tc>
      </w:tr>
      <w:tr>
        <w:tc>
          <w:tcPr>
            <w:tcW w:type="dxa" w:w="2340"/>
          </w:tcPr>
          <w:p>
            <w:r/>
            <w:r>
              <w:rPr>
                <w:sz w:val="16"/>
              </w:rPr>
              <w:t>Leaf</w:t>
            </w:r>
          </w:p>
        </w:tc>
        <w:tc>
          <w:tcPr>
            <w:tcW w:type="dxa" w:w="2340"/>
          </w:tcPr>
          <w:p>
            <w:r/>
            <w:r>
              <w:rPr>
                <w:sz w:val="16"/>
              </w:rPr>
              <w:t>red</w:t>
            </w:r>
          </w:p>
        </w:tc>
        <w:tc>
          <w:tcPr>
            <w:tcW w:type="dxa" w:w="2340"/>
          </w:tcPr>
          <w:p>
            <w:r/>
            <w:r>
              <w:rPr>
                <w:sz w:val="16"/>
              </w:rPr>
              <w:t>RNA processing</w:t>
            </w:r>
          </w:p>
        </w:tc>
        <w:tc>
          <w:tcPr>
            <w:tcW w:type="dxa" w:w="2340"/>
          </w:tcPr>
          <w:p>
            <w:r/>
            <w:r>
              <w:rPr>
                <w:sz w:val="16"/>
              </w:rPr>
              <w:t>RNA binding; protein binding; RNA modification</w:t>
            </w:r>
          </w:p>
        </w:tc>
      </w:tr>
      <w:tr>
        <w:tc>
          <w:tcPr>
            <w:tcW w:type="dxa" w:w="2340"/>
          </w:tcPr>
          <w:p>
            <w:r/>
            <w:r>
              <w:rPr>
                <w:sz w:val="16"/>
              </w:rPr>
              <w:t>Leaf</w:t>
            </w:r>
          </w:p>
        </w:tc>
        <w:tc>
          <w:tcPr>
            <w:tcW w:type="dxa" w:w="2340"/>
          </w:tcPr>
          <w:p>
            <w:r/>
            <w:r>
              <w:rPr>
                <w:sz w:val="16"/>
              </w:rPr>
              <w:t>tan</w:t>
            </w:r>
          </w:p>
        </w:tc>
        <w:tc>
          <w:tcPr>
            <w:tcW w:type="dxa" w:w="2340"/>
          </w:tcPr>
          <w:p>
            <w:r/>
            <w:r>
              <w:rPr>
                <w:sz w:val="16"/>
              </w:rPr>
              <w:t>Oxidative stress (peroxidase)</w:t>
            </w:r>
          </w:p>
        </w:tc>
        <w:tc>
          <w:tcPr>
            <w:tcW w:type="dxa" w:w="2340"/>
          </w:tcPr>
          <w:p>
            <w:r/>
            <w:r>
              <w:rPr>
                <w:sz w:val="16"/>
              </w:rPr>
              <w:t>hydrogen peroxide catabolic process; peroxidase activity; response to ...</w:t>
            </w:r>
          </w:p>
        </w:tc>
      </w:tr>
      <w:tr>
        <w:tc>
          <w:tcPr>
            <w:tcW w:type="dxa" w:w="2340"/>
          </w:tcPr>
          <w:p>
            <w:r/>
            <w:r>
              <w:rPr>
                <w:sz w:val="16"/>
              </w:rPr>
              <w:t>Leaf</w:t>
            </w:r>
          </w:p>
        </w:tc>
        <w:tc>
          <w:tcPr>
            <w:tcW w:type="dxa" w:w="2340"/>
          </w:tcPr>
          <w:p>
            <w:r/>
            <w:r>
              <w:rPr>
                <w:sz w:val="16"/>
              </w:rPr>
              <w:t>turquoise</w:t>
            </w:r>
          </w:p>
        </w:tc>
        <w:tc>
          <w:tcPr>
            <w:tcW w:type="dxa" w:w="2340"/>
          </w:tcPr>
          <w:p>
            <w:r/>
            <w:r>
              <w:rPr>
                <w:sz w:val="16"/>
              </w:rPr>
              <w:t>Chromatin / nucleosome</w:t>
            </w:r>
          </w:p>
        </w:tc>
        <w:tc>
          <w:tcPr>
            <w:tcW w:type="dxa" w:w="2340"/>
          </w:tcPr>
          <w:p>
            <w:r/>
            <w:r>
              <w:rPr>
                <w:sz w:val="16"/>
              </w:rPr>
              <w:t>nucleosome; structural constituent of chromatin; microtubule binding</w:t>
            </w:r>
          </w:p>
        </w:tc>
      </w:tr>
    </w:tbl>
    <w:p>
      <w:pPr>
        <w:pStyle w:val="Heading2"/>
      </w:pPr>
      <w:r>
        <w:t>MOFA+ confirms dominant flight factor and cross-omics coordination</w:t>
      </w:r>
    </w:p>
    <w:p>
      <w:r>
        <w:t>MOFA+ integration of the 18 leaf samples with RNA-seq, 16S and ITS data from the same leaf (transcriptome: 2,000 genes; 16S: 101 ASVs; ITS: 40 ASVs) identified 5 factors. Factor 1 was the dominant signal, explaining 44.4% of transcriptome variance, 9.0% of 16S variance, and 7.0% of ITS variance (Fig. 5A). Factor 1 was significantly correlated with flight status (Spearman ρ=−0.68, padj=0.037; Fig. 5B) and nearly as strongly with light treatment (ρ=+0.63, padj=0.053); flight and light are partly confounded in these samples, because only one flight blue-light leaf has ITS data.</w:t>
      </w:r>
    </w:p>
    <w:p>
      <w:r>
        <w:t>Factor 3 trended with 16S dysbiosis (ρ=−0.61, p=0.008, padj=0.053); no other factor–trait correlation had padj &lt; 0.1. The transcriptome contributed the highest-weighted features to Factors 1–4 and 16S ASVs to Factor 5 (Fig. S6).</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fig5a_mofa_variance.png"/>
                    <pic:cNvPicPr/>
                  </pic:nvPicPr>
                  <pic:blipFill>
                    <a:blip r:embed="rId18"/>
                    <a:stretch>
                      <a:fillRect/>
                    </a:stretch>
                  </pic:blipFill>
                  <pic:spPr>
                    <a:xfrm>
                      <a:off x="0" y="0"/>
                      <a:ext cx="5760720" cy="3600450"/>
                    </a:xfrm>
                    <a:prstGeom prst="rect"/>
                  </pic:spPr>
                </pic:pic>
              </a:graphicData>
            </a:graphic>
          </wp:inline>
        </w:drawing>
      </w:r>
    </w:p>
    <w:p>
      <w:r>
        <w:rPr>
          <w:b/>
        </w:rPr>
        <w:t>*Figure 5A.</w:t>
      </w:r>
      <w:r>
        <w:t xml:space="preserve"> MOFA+ variance explained per factor per view (transcriptome, 16S, ITS).*</w:t>
      </w:r>
    </w:p>
    <w:p>
      <w:pPr>
        <w:jc w:val="center"/>
      </w:pPr>
      <w:r>
        <w:drawing>
          <wp:inline xmlns:a="http://schemas.openxmlformats.org/drawingml/2006/main" xmlns:pic="http://schemas.openxmlformats.org/drawingml/2006/picture">
            <wp:extent cx="5760720" cy="4114800"/>
            <wp:docPr id="11" name="Picture 11"/>
            <wp:cNvGraphicFramePr>
              <a:graphicFrameLocks noChangeAspect="1"/>
            </wp:cNvGraphicFramePr>
            <a:graphic>
              <a:graphicData uri="http://schemas.openxmlformats.org/drawingml/2006/picture">
                <pic:pic>
                  <pic:nvPicPr>
                    <pic:cNvPr id="0" name="fig5b_mofa_correlations.png"/>
                    <pic:cNvPicPr/>
                  </pic:nvPicPr>
                  <pic:blipFill>
                    <a:blip r:embed="rId19"/>
                    <a:stretch>
                      <a:fillRect/>
                    </a:stretch>
                  </pic:blipFill>
                  <pic:spPr>
                    <a:xfrm>
                      <a:off x="0" y="0"/>
                      <a:ext cx="5760720" cy="4114800"/>
                    </a:xfrm>
                    <a:prstGeom prst="rect"/>
                  </pic:spPr>
                </pic:pic>
              </a:graphicData>
            </a:graphic>
          </wp:inline>
        </w:drawing>
      </w:r>
    </w:p>
    <w:p>
      <w:r>
        <w:rPr>
          <w:b/>
        </w:rPr>
        <w:t>*Figure 5B.</w:t>
      </w:r>
      <w:r>
        <w:t xml:space="preserve"> MOFA+ factor–trait correlations; Factor 1 captures flight (ρ=−0.68).*</w:t>
      </w:r>
    </w:p>
    <w:p>
      <w:pPr>
        <w:pStyle w:val="Heading2"/>
      </w:pPr>
      <w:r>
        <w:t>Module-taxon correlations link host modules to specific bacteria</w:t>
      </w:r>
    </w:p>
    <w:p>
      <w:r>
        <w:t xml:space="preserve">Bipartite correlation networks identified 31 significant module-taxon relationships (BH padj &lt; 0.05), predominantly in leaf 16S (28 of 31; Fig. 6; Table S9). The other three link adventitious-root modules to fungal ASVs, two of them to a </w:t>
      </w:r>
      <w:r>
        <w:rPr>
          <w:i/>
        </w:rPr>
        <w:t>Fusarium</w:t>
      </w:r>
      <w:r>
        <w:t xml:space="preserve"> ASV (ITS ASV006; blue module ρ=−0.93, turquoise ρ=+0.91). The flight-associated turquoise module positively correlated with </w:t>
      </w:r>
      <w:r>
        <w:rPr>
          <w:i/>
        </w:rPr>
        <w:t>Methylobacterium-Methylorubrum</w:t>
      </w:r>
      <w:r>
        <w:t xml:space="preserve"> (ρ=+0.76, padj=0.003),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the flight-enriched Erwiniaceae ASV (ASV024;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4528087"/>
            <wp:docPr id="12" name="Picture 12"/>
            <wp:cNvGraphicFramePr>
              <a:graphicFrameLocks noChangeAspect="1"/>
            </wp:cNvGraphicFramePr>
            <a:graphic>
              <a:graphicData uri="http://schemas.openxmlformats.org/drawingml/2006/picture">
                <pic:pic>
                  <pic:nvPicPr>
                    <pic:cNvPr id="0" name="fig6_module_taxon_network.png"/>
                    <pic:cNvPicPr/>
                  </pic:nvPicPr>
                  <pic:blipFill>
                    <a:blip r:embed="rId20"/>
                    <a:stretch>
                      <a:fillRect/>
                    </a:stretch>
                  </pic:blipFill>
                  <pic:spPr>
                    <a:xfrm>
                      <a:off x="0" y="0"/>
                      <a:ext cx="5760720" cy="4528087"/>
                    </a:xfrm>
                    <a:prstGeom prst="rect"/>
                  </pic:spPr>
                </pic:pic>
              </a:graphicData>
            </a:graphic>
          </wp:inline>
        </w:drawing>
      </w:r>
    </w:p>
    <w:p>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Heading2"/>
      </w:pPr>
      <w:r>
        <w:t>Predicted bacterial functions</w:t>
      </w:r>
    </w:p>
    <w:p>
      <w:r>
        <w:t xml:space="preserve">FAPROTAX assigned 185 of the 348 bacterial ASVs to 44 functional groups (Table S6). By read count the largest were chemoheterotrophy (379,596 reads, 160 ASVs) and its subset aerobic chemoheterotrophy (377,996 reads, 144 ASVs), nitrogen fixation (166,177 reads, 14 ASVs) and ureolysis (139,142 reads, 17 ASVs) (Fig. 7). FAPROTAX matches whole taxon names, so the 14 ASVs of SILVA's merged genus </w:t>
      </w:r>
      <w:r>
        <w:rPr>
          <w:i/>
        </w:rPr>
        <w:t>Methylobacterium-Methylorubrum</w:t>
      </w:r>
      <w:r>
        <w:t>, the genus most strongly correlated with the flight-associated turquoise module, received no function. Treating the hyphenated name as separate words adds all 14 to methanol oxidation and methylotrophy (methanol oxidation then totals 96,687 reads), but not to methanotrophy.</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 (Table S7).</w:t>
      </w:r>
    </w:p>
    <w:p>
      <w:pPr>
        <w:jc w:val="center"/>
      </w:pPr>
      <w:r>
        <w:drawing>
          <wp:inline xmlns:a="http://schemas.openxmlformats.org/drawingml/2006/main" xmlns:pic="http://schemas.openxmlformats.org/drawingml/2006/picture">
            <wp:extent cx="5760720" cy="4320540"/>
            <wp:docPr id="13" name="Picture 13"/>
            <wp:cNvGraphicFramePr>
              <a:graphicFrameLocks noChangeAspect="1"/>
            </wp:cNvGraphicFramePr>
            <a:graphic>
              <a:graphicData uri="http://schemas.openxmlformats.org/drawingml/2006/picture">
                <pic:pic>
                  <pic:nvPicPr>
                    <pic:cNvPr id="0" name="fig7_faprotax.png"/>
                    <pic:cNvPicPr/>
                  </pic:nvPicPr>
                  <pic:blipFill>
                    <a:blip r:embed="rId21"/>
                    <a:stretch>
                      <a:fillRect/>
                    </a:stretch>
                  </pic:blipFill>
                  <pic:spPr>
                    <a:xfrm>
                      <a:off x="0" y="0"/>
                      <a:ext cx="5760720" cy="4320540"/>
                    </a:xfrm>
                    <a:prstGeom prst="rect"/>
                  </pic:spPr>
                </pic:pic>
              </a:graphicData>
            </a:graphic>
          </wp:inline>
        </w:drawing>
      </w:r>
    </w:p>
    <w:p>
      <w:r>
        <w:rPr>
          <w:b/>
        </w:rPr>
        <w:t>*Figure 7.</w:t>
      </w:r>
      <w:r>
        <w:t xml:space="preserve"> FAPROTAX predicted bacterial functions (FAPROTAX 1.2.12; the 15 largest groups by read count: chemoheterotrophy, nitrogen fixation, ureolysis and others).*</w:t>
      </w:r>
    </w:p>
    <w:p>
      <w:pPr>
        <w:pStyle w:val="Heading1"/>
      </w:pPr>
      <w:r>
        <w:t>Discussion</w:t>
      </w:r>
    </w:p>
    <w:p>
      <w:r>
        <w:t>This study presents the first integrated multi-omics analysis of plant-microbiome interactions in the ISS VEG-05 experiment. Our findings reveal three key insights: (1) spaceflight restructures both the bacterial and the fungal communities of leaves, with increased bacterial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padj=0.32) indicates that the host transcriptional response in this module is driven by microbial community changes rather than directly by the spaceflight environment. Although the black module's own GO enrichment was limited (its only enriched term was "nucleus"), the broader adventitious-root oxidative-stress program — concentrated in the larger turquoise module — together with the black module's tight coupling to fungal dysbiosis suggests that fungal community restructuring may trigger host defense and redox responses, potentially through oxidative burst signaling.</w:t>
      </w:r>
    </w:p>
    <w:p>
      <w:pPr>
        <w:pStyle w:val="Heading2"/>
      </w:pPr>
      <w:r>
        <w:t>Relationship to a cross-mission salicylic-acid integration</w:t>
      </w:r>
    </w:p>
    <w:p>
      <w:r>
        <w:t xml:space="preserve">These microbiome findings dovetail with a companion cross-mission analysis that integrated the same OSD-767 transcriptome with an Advanced Plant Habitat experiment manipulating salicylic-acid (SA) signalling (wild-type MoneyMaker versus the SA-deficient </w:t>
      </w:r>
      <w:r>
        <w:rPr>
          <w:i/>
        </w:rPr>
        <w:t>NahG</w:t>
      </w:r>
      <w:r>
        <w:t xml:space="preserve"> line). That analysis concluded that the spaceflight transcriptome resembles an SA-deficient, biotic-defense-primed state. Our results offer a proximal explanation: spaceflight-induced dysbiosis — and the microbe-driven, flight-independent host module identified here — could be the stimulus that elicits that defense-primed signature, with SA acting as the gating regulator of plant biotic immunity. Reassuringly, both analyses independently recover the blue-light amplification of the spaceflight response (here, 4,716 versus 523 leaf DEGs; there, a blue-LED-amplified biotic/hormone stress axis) despite using different pipelines. This also rationalises why gene-level spaceflight signatures replicate poorly across missions while the biotic-defense </w:t>
      </w:r>
      <w:r>
        <w:rPr>
          <w:i/>
        </w:rPr>
        <w:t>pattern</w:t>
      </w:r>
      <w:r>
        <w:t xml:space="preserve"> is conserved: if that pattern tracks the mission-variable microbiome rather than a fixed microgravity program, pattern-level conservation alongside gene-level divergence is exactly what one expects. A full comparison is provided in `COMPARISON_with_SA_integration.md`.</w:t>
      </w:r>
    </w:p>
    <w:p>
      <w:pPr>
        <w:pStyle w:val="Heading2"/>
      </w:pPr>
      <w:r>
        <w:t>Limitations</w:t>
      </w:r>
    </w:p>
    <w:p>
      <w:r>
        <w:t>Several limitations should be noted. First, sample sizes are small (n=21 leaf, n=15 root for RNA-seq; n=1–6 per flight × light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and two flight adventitious-root samples retained a single ITS read each. Fourth, MOFA+ warned that Factor 1 may partially capture technical variation (detection rate differences), though the strong biological signal supports its interpretation as a flight factor. Fifth, FAPROTAX functional predictions are based on taxonomy and should be validated with metagenomic or metatranscriptomic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1. Study design and analysis overview.</w:t>
      </w:r>
      <w:r>
        <w:t xml:space="preserve"> The ISS VEG-05 experiment (tomato cv. Red Robin; Flight vs Ground; red-rich vs blue-rich LED; leaf and adventitious root) feeds two data streams — host transcriptome (OSD-767) and microbiome (OSD-766) — that are combined through DESeq2, WGCNA, a dysbiosis index, MOFA+, and module–taxon networks.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(mean Bray-Curtis distance to ground samples, relative to ground-ground distance);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 (flight main effect of the flight × light model: the flight effect averaged over the two light treatments).</w:t>
      </w:r>
    </w:p>
    <w:p>
      <w:pPr>
        <w:pStyle w:val="ListBullet"/>
      </w:pPr>
      <w:r>
        <w:rPr>
          <w:b/>
        </w:rPr>
        <w:t>Figure 3C.</w:t>
      </w:r>
      <w:r>
        <w:t xml:space="preserve"> Adventitious-root Flight-vs-Ground volcano (flight main effect, averaged over the two light treatments; predominantly upregulation).</w:t>
      </w:r>
    </w:p>
    <w:p>
      <w:pPr>
        <w:pStyle w:val="ListBullet"/>
      </w:pPr>
      <w:r>
        <w:rPr>
          <w:b/>
        </w:rPr>
        <w:t>Figure 4 (Leaf).</w:t>
      </w:r>
      <w:r>
        <w:t xml:space="preserve"> WGCNA module–trait correlations (flight, light, 16S/ITS dysbiosis). Each module is labelled with its dominant GO biology (Table 1); cells show Pearson r with significance stars.</w:t>
      </w:r>
    </w:p>
    <w:p>
      <w:pPr>
        <w:pStyle w:val="ListBullet"/>
      </w:pPr>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(ρ=−0.68).</w:t>
      </w:r>
    </w:p>
    <w:p>
      <w:pPr>
        <w:pStyle w:val="ListBullet"/>
      </w:pPr>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ListBullet"/>
      </w:pPr>
      <w:r>
        <w:rPr>
          <w:b/>
        </w:rPr>
        <w:t>Figure 7.</w:t>
      </w:r>
      <w:r>
        <w:t xml:space="preserve"> FAPROTAX predicted bacterial functions (FAPROTAX 1.2.12; the 15 largest groups by read count: chemoheterotrophy, nitrogen fixation, ureolysis and others).</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Structure and functions of the bacterial microbiota of plants. </w:t>
      </w:r>
      <w:r>
        <w:rPr>
          <w:i/>
        </w:rPr>
        <w:t>Annu. Rev. Plant Biol.</w:t>
      </w:r>
      <w:r>
        <w:t xml:space="preserve"> 64, 807–838 (2013).</w:t>
      </w:r>
    </w:p>
    <w:p>
      <w:r>
        <w:t xml:space="preserve">[2] TODO: citation needed. The reference previously listed here (Wheeler, R.M. et al., </w:t>
      </w:r>
      <w:r>
        <w:rPr>
          <w:i/>
        </w:rPr>
        <w:t>Adv. Space Res.</w:t>
      </w:r>
      <w:r>
        <w:t xml:space="preserve"> 41, 1057–1066, 2008) matches no published record.</w:t>
      </w:r>
    </w:p>
    <w:p>
      <w:r>
        <w:t xml:space="preserve">[3] Spern, C.J. et al. The microbial communities of a tomato crop grown in Veggie under different lighting regimes on the International Space Station. </w:t>
      </w:r>
      <w:r>
        <w:rPr>
          <w:i/>
        </w:rPr>
        <w:t>Life Sci. Space Res.</w:t>
      </w:r>
      <w:r>
        <w:t xml:space="preserve"> 52, 84–97 (2026).</w:t>
      </w:r>
    </w:p>
    <w:p>
      <w:r>
        <w:t xml:space="preserve">[4] TODO: citation needed. The reference previously listed here (Rosenzweig, J.A. et al., </w:t>
      </w:r>
      <w:r>
        <w:rPr>
          <w:i/>
        </w:rPr>
        <w:t>npj Microgravity</w:t>
      </w:r>
      <w:r>
        <w:t xml:space="preserve"> 1, 15009, 2015) matches no published record.</w:t>
      </w:r>
    </w:p>
    <w:p>
      <w:r>
        <w:t xml:space="preserve">[5] TODO: citation needed. The reference previously listed here (Voorhies, A.A. et al., </w:t>
      </w:r>
      <w:r>
        <w:rPr>
          <w:i/>
        </w:rPr>
        <w:t>PLoS ONE</w:t>
      </w:r>
      <w:r>
        <w:t xml:space="preserve"> 14, e0224893, 2019) matches no published record.</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improved data processing and web-based tools.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ectomycorrhizal fungi. </w:t>
      </w:r>
      <w:r>
        <w:rPr>
          <w:i/>
        </w:rPr>
        <w:t>New Phytol.</w:t>
      </w:r>
      <w:r>
        <w:t xml:space="preserve"> 166, 1063–1068 (2005).</w:t>
      </w:r>
    </w:p>
    <w:p>
      <w:r>
        <w:t xml:space="preserve">[12] Love, M.I. et al. Moderated estimation of fold change and dispersion for RNA-seq data with DESeq2. </w:t>
      </w:r>
      <w:r>
        <w:rPr>
          <w:i/>
        </w:rPr>
        <w:t>Genome Biol.</w:t>
      </w:r>
      <w:r>
        <w:t xml:space="preserve"> 15, 550 (2014).</w:t>
      </w:r>
    </w:p>
    <w:p>
      <w:r>
        <w:t xml:space="preserve">[13] Zhu, A., Ibrahim, J.G. &amp; Love, M.I. Heavy-tailed prior distributions for sequence count data: removing the noise and preserving large differences. </w:t>
      </w:r>
      <w:r>
        <w:rPr>
          <w:i/>
        </w:rPr>
        <w:t>Bioinformatics</w:t>
      </w:r>
      <w:r>
        <w:t xml:space="preserve"> 35, 2084–2092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2.7-5 (2026).</w:t>
      </w:r>
    </w:p>
    <w:p>
      <w:r>
        <w:t xml:space="preserve">[17] Fernandes, A.D. et al. Unifying the analysis of high-throughput sequencing datasets: characterizing RNA-seq, 16S rRNA gene sequencing and selective growth experiments by compositional data analysis. </w:t>
      </w:r>
      <w:r>
        <w:rPr>
          <w:i/>
        </w:rPr>
        <w:t>Microbiome</w:t>
      </w:r>
      <w:r>
        <w:t xml:space="preserve"> 2, 15 (2014).</w:t>
      </w:r>
    </w:p>
    <w:p>
      <w:r>
        <w:t xml:space="preserve">[18] Yu, G. et al. clusterProfiler: an R package for comparing biological themes among gene clusters. </w:t>
      </w:r>
      <w:r>
        <w:rPr>
          <w:i/>
        </w:rPr>
        <w:t>OMICS</w:t>
      </w:r>
      <w:r>
        <w:t xml:space="preserve"> 16, 284–287 (2012).</w:t>
      </w:r>
    </w:p>
    <w:p>
      <w:r>
        <w:t xml:space="preserve">[19] Louca, S., Parfrey, L.W. &amp; Doebeli, M. Decoupling function and taxonomy in the global ocean microbiome. </w:t>
      </w:r>
      <w:r>
        <w:rPr>
          <w:i/>
        </w:rPr>
        <w:t>Science</w:t>
      </w:r>
      <w:r>
        <w:t xml:space="preserve"> 353, 1272–1277 (2016).</w:t>
      </w:r>
    </w:p>
    <w:p>
      <w:r>
        <w:t xml:space="preserve">[20] Nguyen, N.H. et al. FUNGuild: an open annotation tool for parsing fungal community datasets by ecological guild. </w:t>
      </w:r>
      <w:r>
        <w:rPr>
          <w:i/>
        </w:rPr>
        <w:t>Fungal Ecol.</w:t>
      </w:r>
      <w:r>
        <w:t xml:space="preserve"> 20, 241–248 (2016).</w:t>
      </w:r>
    </w:p>
    <w:p>
      <w:r>
        <w:t xml:space="preserve">[21] Voorhies, A.A. et al. Study of the impact of long-duration space missions at the International Space Station on the astronaut microbiome. </w:t>
      </w:r>
      <w:r>
        <w:rPr>
          <w:i/>
        </w:rPr>
        <w:t>Sci. Rep.</w:t>
      </w:r>
      <w:r>
        <w:t xml:space="preserve"> 9, 9911 (2019).</w:t>
      </w:r>
    </w:p>
    <w:p>
      <w:r>
        <w:t xml:space="preserve">[22] Chaves, I. et al. The cryptochromes: blue light photoreceptors in plants and animals. </w:t>
      </w:r>
      <w:r>
        <w:rPr>
          <w:i/>
        </w:rPr>
        <w:t>Annu. Rev. Plant Biol.</w:t>
      </w:r>
      <w:r>
        <w:t xml:space="preserve"> 62, 335–364 (2011).</w:t>
      </w:r>
    </w:p>
    <w:p>
      <w:r>
        <w:t xml:space="preserve">[23] Dixit, A.R. et al. Stress and light spectral quality influence the transcriptome of a tomato crop on the International Space Station. </w:t>
      </w:r>
      <w:r>
        <w:rPr>
          <w:i/>
        </w:rPr>
        <w:t>BMC Plant Biol.</w:t>
      </w:r>
      <w:r>
        <w:t xml:space="preserve"> 26, 764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