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(red-rich vs. blue-rich LED). DADA2 processing yielded 348 bacterial and 77 fungal ASVs from 142 and 141 samples respectively. Leaf bacterial community composition differed among flight and light groups (PERMANOVA R²=0.42 for the full flight × light model, p=0.001), and flight samples had higher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padj=0.009) but not with flight status (r=−0.38, padj=0.32), representing a microbe-driven host transcriptional signature independent of the direct spaceflight stimulus. MOFA+ integration across three omics layers confirmed a dominant flight-associated factor (48% transcriptome variance) </w:t>
      </w:r>
      <w:r>
        <w:rPr>
          <w:b/>
        </w:rPr>
        <w:t>[TODO: the MOFA+ microbiome views were built from mismatched samples; re-run before comparing bacterial and fungal responses]</w:t>
      </w:r>
      <w:r>
        <w:t>. The most abundant FAPROTAX-predicted bacterial functions were aerobic chemoheterotrophy, nitrogen fixation, dark hydrogen oxidation and methanol oxidation.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 23].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(Fig. 1).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jc w:val="center"/>
      </w:pPr>
      <w:r>
        <w:drawing>
          <wp:inline xmlns:a="http://schemas.openxmlformats.org/drawingml/2006/main" xmlns:pic="http://schemas.openxmlformats.org/drawingml/2006/picture">
            <wp:extent cx="5760720" cy="2978317"/>
            <wp:docPr id="1" name="Picture 1"/>
            <wp:cNvGraphicFramePr>
              <a:graphicFrameLocks noChangeAspect="1"/>
            </wp:cNvGraphicFramePr>
            <a:graphic>
              <a:graphicData uri="http://schemas.openxmlformats.org/drawingml/2006/picture">
                <pic:pic>
                  <pic:nvPicPr>
                    <pic:cNvPr id="0" name="fig1_study_design.png"/>
                    <pic:cNvPicPr/>
                  </pic:nvPicPr>
                  <pic:blipFill>
                    <a:blip r:embed="rId9"/>
                    <a:stretch>
                      <a:fillRect/>
                    </a:stretch>
                  </pic:blipFill>
                  <pic:spPr>
                    <a:xfrm>
                      <a:off x="0" y="0"/>
                      <a:ext cx="5760720" cy="2978317"/>
                    </a:xfrm>
                    <a:prstGeom prst="rect"/>
                  </pic:spPr>
                </pic:pic>
              </a:graphicData>
            </a:graphic>
          </wp:inline>
        </w:drawing>
      </w:r>
    </w:p>
    <w:p>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[3]) and OSD-767 (host RNA-seq [23]). The VEG-05 experiment grew tomato cv. Red Robin aboard the ISS under red-rich (90% red:10% blue) or blue-rich (50% red:50%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138.1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Table S1). The design model included flight status, light treatment, and their interaction. Each main effect is the effect of one factor averaged over both levels of the other. Log-fold changes were shrunk with ashr [14] for the main effects and the within-light contrasts, and with apeglm [13] for the interaction term.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for each flight sample as its mean Bray-Curtis distance to all ground samples of the same compartment (both light treatments), divided by the mean pairwise distance among those ground samples. Differential abundance testing used ALDEx2 [17] with 128 Monte Carlo instances, requiring both a Benjamini–Hochberg-adjusted Welch p &lt; 0.05 and |effect size| &gt; 1; positive effects are higher in flight.</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(Pearson) with flight status, light treatment, and the 16S/ITS dysbiosis indices of the same plant and tissue. A ground sample's index is its mean Bray-Curtis distance to the other ground samples of its compartment, over the same denominator, so ground indices average 1. Dysbiosis indices exist for 21 (16S) and 18 (ITS) of the 21 leaf samples and for 15 and 12 of the 15 adventitious-root samples; each correlation's p-value uses that number of samples. Hub genes were the 10 genes with the highest module membership (kME) in each module (all kME ≥ 0.86).</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https://github.com/dr-richard-barker/veg05-integrated-omics.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 xml:space="preserve">Bacterial community composition differed among flight and light groups in leaves (PERMANOVA, full flight × light model: R²=0.42, F=4.02, p=0.001, n=21) and adventitious roots (R²=0.33, F=2.93, p=0.001, n=15; Table S4). These R² values are for the whole model, not for spaceflight alone </w:t>
      </w:r>
      <w:r>
        <w:rPr>
          <w:b/>
        </w:rPr>
        <w:t>[TODO: term-wise PERMANOVA]</w:t>
      </w:r>
      <w:r>
        <w:t>. In leaves, bacterial alpha diversity was higher in flight samples: Observed ASVs ranged from 17.8–25.8 in flight versus 10.0–15.2 in ground controls (Fig. 2A; Table S3).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fig2a_alpha_diversity_16S.png"/>
                    <pic:cNvPicPr/>
                  </pic:nvPicPr>
                  <pic:blipFill>
                    <a:blip r:embed="rId10"/>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model was not significant (model R²=0.45, p=0.054). Adventitious root fungal community composition also differed among groups (model R²=0.65, F=8.19, p=0.001).</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16S.png"/>
                    <pic:cNvPicPr/>
                  </pic:nvPicPr>
                  <pic:blipFill>
                    <a:blip r:embed="rId11"/>
                    <a:stretch>
                      <a:fillRect/>
                    </a:stretch>
                  </pic:blipFill>
                  <pic:spPr>
                    <a:xfrm>
                      <a:off x="0" y="0"/>
                      <a:ext cx="5760720" cy="4800600"/>
                    </a:xfrm>
                    <a:prstGeom prst="rect"/>
                  </pic:spPr>
                </pic:pic>
              </a:graphicData>
            </a:graphic>
          </wp:inline>
        </w:drawing>
      </w:r>
    </w:p>
    <w:p>
      <w:r>
        <w:rPr>
          <w:b/>
        </w:rPr>
        <w:t>*Figure 2B (16S).</w:t>
      </w:r>
      <w:r>
        <w:t xml:space="preserve"> Bacterial dysbiosis index (mean Bray-Curtis distance to ground samples, relative to ground-ground distance); elevated under flight.*</w:t>
      </w:r>
    </w:p>
    <w:p>
      <w:pPr>
        <w:jc w:val="center"/>
      </w:pPr>
      <w:r>
        <w:drawing>
          <wp:inline xmlns:a="http://schemas.openxmlformats.org/drawingml/2006/main" xmlns:pic="http://schemas.openxmlformats.org/drawingml/2006/picture">
            <wp:extent cx="5760720" cy="4800600"/>
            <wp:docPr id="4" name="Picture 4"/>
            <wp:cNvGraphicFramePr>
              <a:graphicFrameLocks noChangeAspect="1"/>
            </wp:cNvGraphicFramePr>
            <a:graphic>
              <a:graphicData uri="http://schemas.openxmlformats.org/drawingml/2006/picture">
                <pic:pic>
                  <pic:nvPicPr>
                    <pic:cNvPr id="0" name="fig2b_dysbiosis_ITS.png"/>
                    <pic:cNvPicPr/>
                  </pic:nvPicPr>
                  <pic:blipFill>
                    <a:blip r:embed="rId12"/>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(BH-adjusted p &lt; 0.05 and |effect| &gt; 1), all of them more abundant in flight. In leaf 16S, </w:t>
      </w:r>
      <w:r>
        <w:rPr>
          <w:i/>
        </w:rPr>
        <w:t>Pantoea</w:t>
      </w:r>
      <w:r>
        <w:t xml:space="preserve"> (ASV024) was enriched in flight (effect=+1.10). In ITS, </w:t>
      </w:r>
      <w:r>
        <w:rPr>
          <w:i/>
        </w:rPr>
        <w:t>Penicillium citrinum</w:t>
      </w:r>
      <w:r>
        <w:t xml:space="preserve"> (ASV003) was enriched in flight leaves (effect=+1.82). In adventitious roots, </w:t>
      </w:r>
      <w:r>
        <w:rPr>
          <w:i/>
        </w:rPr>
        <w:t>Fusarium solani</w:t>
      </w:r>
      <w:r>
        <w:t xml:space="preserve"> (ITS ASV006; effect=+1.82) and three bacterial taxa (16S ASV004, </w:t>
      </w:r>
      <w:r>
        <w:rPr>
          <w:i/>
        </w:rPr>
        <w:t>Burkholderia-Caballeronia-Paraburkholderia</w:t>
      </w:r>
      <w:r>
        <w:t xml:space="preserve">, +1.58; ASV021, Rhizobiaceae, +3.25; ASV022, </w:t>
      </w:r>
      <w:r>
        <w:rPr>
          <w:i/>
        </w:rPr>
        <w:t>Dyadobacter</w:t>
      </w:r>
      <w:r>
        <w:t>, +2.22) were enriched in flight.</w:t>
      </w:r>
    </w:p>
    <w:p>
      <w:pPr>
        <w:pStyle w:val="Heading2"/>
      </w:pPr>
      <w:r>
        <w:t>Spaceflight transcriptional response is light-dependent</w:t>
      </w:r>
    </w:p>
    <w:p>
      <w:r>
        <w:t>DESeq2 analysis revealed a pronounced interaction between spaceflight and light quality (Table S2). In leaves, the flight main effect (the flight effect averaged over the two light treatments) gave 2,683 DEGs (1,368 up, 1,315 down; Fig. 3B). Separate models within each light treatment gave 4,716 DEGs under blue-rich light and 523 under red-rich light (Fig. 3). The formal interaction term identified 3,189 DEGs, confirming that the transcriptional response to spaceflight is strongly modulated by light quality.</w:t>
      </w:r>
    </w:p>
    <w:p>
      <w:r>
        <w:t>In adventitious roots, the flight main effect was predominantly upregulation (1,501 DEGs: 1,245 up, 256 down, 83% upregulated; Fig. 3C),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5" name="Picture 5"/>
            <wp:cNvGraphicFramePr>
              <a:graphicFrameLocks noChangeAspect="1"/>
            </wp:cNvGraphicFramePr>
            <a:graphic>
              <a:graphicData uri="http://schemas.openxmlformats.org/drawingml/2006/picture">
                <pic:pic>
                  <pic:nvPicPr>
                    <pic:cNvPr id="0" name="fig3_deg_summary.png"/>
                    <pic:cNvPicPr/>
                  </pic:nvPicPr>
                  <pic:blipFill>
                    <a:blip r:embed="rId13"/>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b_volcano_leaf_flight.png"/>
                    <pic:cNvPicPr/>
                  </pic:nvPicPr>
                  <pic:blipFill>
                    <a:blip r:embed="rId14"/>
                    <a:stretch>
                      <a:fillRect/>
                    </a:stretch>
                  </pic:blipFill>
                  <pic:spPr>
                    <a:xfrm>
                      <a:off x="0" y="0"/>
                      <a:ext cx="5760720" cy="4937760"/>
                    </a:xfrm>
                    <a:prstGeom prst="rect"/>
                  </pic:spPr>
                </pic:pic>
              </a:graphicData>
            </a:graphic>
          </wp:inline>
        </w:drawing>
      </w:r>
    </w:p>
    <w:p>
      <w:r>
        <w:rPr>
          <w:b/>
        </w:rPr>
        <w:t>*Figure 3B.</w:t>
      </w:r>
      <w:r>
        <w:t xml:space="preserve"> Leaf Flight-vs-Ground volcano (flight main effect of the flight × light model: the flight effect averaged over the two light treatments).*</w:t>
      </w:r>
    </w:p>
    <w:p>
      <w:pPr>
        <w:jc w:val="center"/>
      </w:pPr>
      <w:r>
        <w:drawing>
          <wp:inline xmlns:a="http://schemas.openxmlformats.org/drawingml/2006/main" xmlns:pic="http://schemas.openxmlformats.org/drawingml/2006/picture">
            <wp:extent cx="5760720" cy="4937760"/>
            <wp:docPr id="7" name="Picture 7"/>
            <wp:cNvGraphicFramePr>
              <a:graphicFrameLocks noChangeAspect="1"/>
            </wp:cNvGraphicFramePr>
            <a:graphic>
              <a:graphicData uri="http://schemas.openxmlformats.org/drawingml/2006/picture">
                <pic:pic>
                  <pic:nvPicPr>
                    <pic:cNvPr id="0" name="fig3c_volcano_advroot_flight.png"/>
                    <pic:cNvPicPr/>
                  </pic:nvPicPr>
                  <pic:blipFill>
                    <a:blip r:embed="rId15"/>
                    <a:stretch>
                      <a:fillRect/>
                    </a:stretch>
                  </pic:blipFill>
                  <pic:spPr>
                    <a:xfrm>
                      <a:off x="0" y="0"/>
                      <a:ext cx="5760720" cy="4937760"/>
                    </a:xfrm>
                    <a:prstGeom prst="rect"/>
                  </pic:spPr>
                </pic:pic>
              </a:graphicData>
            </a:graphic>
          </wp:inline>
        </w:drawing>
      </w:r>
    </w:p>
    <w:p>
      <w:r>
        <w:rPr>
          <w:b/>
        </w:rPr>
        <w:t>*Figure 3C.</w:t>
      </w:r>
      <w:r>
        <w:t xml:space="preserve"> Adventitious-root Flight-vs-Ground volcano (flight main effect, averaged over the two light treatments; predominantly upregulation).*</w:t>
      </w:r>
    </w:p>
    <w:p>
      <w:pPr>
        <w:pStyle w:val="Heading2"/>
      </w:pPr>
      <w:r>
        <w:t>WGCNA identifies a microbe-driven host transcriptional module</w:t>
      </w:r>
    </w:p>
    <w:p>
      <w:r>
        <w:t>WGCNA of the leaf transcriptome identified 12 modules plus unassigned genes (power=20; Fig. 4),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 (Table S5).</w:t>
      </w:r>
    </w:p>
    <w:p>
      <w:r>
        <w:t>In adventitious roots, WGCNA identified 16 modules plus unassigned genes (power=18). The key finding was the black module (n=169 genes), which was strongly correlated with ITS dysbiosis (r=−0.85, padj=0.009, 12 plants) but not with flight status (r=−0.38, padj=0.32). The correlation holds within flight plants (r=−0.87, n=6) and within ground plants (r=−0.75, n=6), although the ITS dysbiosis index is itself higher in flight (r=0.70 with flight status). The green module (n=287; ITS r=−0.72, padj=0.044) was also classified as microbe-driven, and the turquoise module as co-regulated (flight r=+0.72; ITS r=+0.74, padj=0.044). The black module was classified as microbe-driven, representing a host transcriptional response to fungal community changes that is independent of the direct spaceflight stimulus. GO enrichment of the black module itself was limited — its only significantly enriched term was the cellular component "nucleus" — so it is defined here by its microbe-driven trait association rather than by a specific enriched process; the adventitious-root oxidative-stress program was instead concentrated in the larger turquoise module (see below).</w:t>
      </w:r>
    </w:p>
    <w:p>
      <w:r>
        <w:t>GO enrichment analysis of all modules revealed biologically coherent functional signatures (full results in Table S10).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6882378"/>
            <wp:docPr id="8" name="Picture 8"/>
            <wp:cNvGraphicFramePr>
              <a:graphicFrameLocks noChangeAspect="1"/>
            </wp:cNvGraphicFramePr>
            <a:graphic>
              <a:graphicData uri="http://schemas.openxmlformats.org/drawingml/2006/picture">
                <pic:pic>
                  <pic:nvPicPr>
                    <pic:cNvPr id="0" name="fig4_module_traits_Leaf.png"/>
                    <pic:cNvPicPr/>
                  </pic:nvPicPr>
                  <pic:blipFill>
                    <a:blip r:embed="rId16"/>
                    <a:stretch>
                      <a:fillRect/>
                    </a:stretch>
                  </pic:blipFill>
                  <pic:spPr>
                    <a:xfrm>
                      <a:off x="0" y="0"/>
                      <a:ext cx="5760720" cy="6882378"/>
                    </a:xfrm>
                    <a:prstGeom prst="rect"/>
                  </pic:spPr>
                </pic:pic>
              </a:graphicData>
            </a:graphic>
          </wp:inline>
        </w:drawing>
      </w:r>
    </w:p>
    <w:p>
      <w:r>
        <w:rPr>
          <w:b/>
        </w:rPr>
        <w:t>*Figure 4 (Leaf).</w:t>
      </w:r>
      <w:r>
        <w:t xml:space="preserve"> WGCNA module–trait correlations (flight, light, 16S/ITS dysbiosis). Each module is labelled with its dominant GO biology (Table 1); cells show Pearson r with significance stars.*</w:t>
      </w:r>
    </w:p>
    <w:p>
      <w:pPr>
        <w:jc w:val="center"/>
      </w:pPr>
      <w:r>
        <w:drawing>
          <wp:inline xmlns:a="http://schemas.openxmlformats.org/drawingml/2006/main" xmlns:pic="http://schemas.openxmlformats.org/drawingml/2006/picture">
            <wp:extent cx="5016969" cy="7498079"/>
            <wp:docPr id="9" name="Picture 9"/>
            <wp:cNvGraphicFramePr>
              <a:graphicFrameLocks noChangeAspect="1"/>
            </wp:cNvGraphicFramePr>
            <a:graphic>
              <a:graphicData uri="http://schemas.openxmlformats.org/drawingml/2006/picture">
                <pic:pic>
                  <pic:nvPicPr>
                    <pic:cNvPr id="0" name="fig4_module_traits_AdvRoot.png"/>
                    <pic:cNvPicPr/>
                  </pic:nvPicPr>
                  <pic:blipFill>
                    <a:blip r:embed="rId17"/>
                    <a:stretch>
                      <a:fillRect/>
                    </a:stretch>
                  </pic:blipFill>
                  <pic:spPr>
                    <a:xfrm>
                      <a:off x="0" y="0"/>
                      <a:ext cx="5016969" cy="7498079"/>
                    </a:xfrm>
                    <a:prstGeom prst="rect"/>
                  </pic:spPr>
                </pic:pic>
              </a:graphicData>
            </a:graphic>
          </wp:inline>
        </w:drawing>
      </w:r>
    </w:p>
    <w:p>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Heading2"/>
      </w:pPr>
      <w:r>
        <w:t>Module functional annotation (GO)</w:t>
      </w:r>
    </w:p>
    <w:p>
      <w:r>
        <w:t>To make the WGCNA module colours interpretable, each module was annotated with its dominant biology from per-module Gene Ontology enrichment (Table 1). These human-readable labels are shown alongside the module colours on the axes of Figs 4 and 6. Modules with no significant enrichment are marked accordingly.</w:t>
      </w:r>
    </w:p>
    <w:p>
      <w:r>
        <w:rPr>
          <w:b/>
        </w:rPr>
        <w:t>Table 1. GO-based functional annotation of WGCNA modules.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16"/>
              </w:rPr>
              <w:t>Tissue</w:t>
            </w:r>
          </w:p>
        </w:tc>
        <w:tc>
          <w:tcPr>
            <w:tcW w:type="dxa" w:w="2340"/>
          </w:tcPr>
          <w:p>
            <w:r/>
            <w:r>
              <w:rPr>
                <w:b/>
                <w:sz w:val="16"/>
              </w:rPr>
              <w:t>Module</w:t>
            </w:r>
          </w:p>
        </w:tc>
        <w:tc>
          <w:tcPr>
            <w:tcW w:type="dxa" w:w="2340"/>
          </w:tcPr>
          <w:p>
            <w:r/>
            <w:r>
              <w:rPr>
                <w:b/>
                <w:sz w:val="16"/>
              </w:rPr>
              <w:t>GO biology (dominant)</w:t>
            </w:r>
          </w:p>
        </w:tc>
        <w:tc>
          <w:tcPr>
            <w:tcW w:type="dxa" w:w="2340"/>
          </w:tcPr>
          <w:p>
            <w:r/>
            <w:r>
              <w:rPr>
                <w:b/>
                <w:sz w:val="16"/>
              </w:rPr>
              <w:t>Representative GO terms</w:t>
            </w:r>
          </w:p>
        </w:tc>
      </w:tr>
      <w:tr>
        <w:tc>
          <w:tcPr>
            <w:tcW w:type="dxa" w:w="2340"/>
          </w:tcPr>
          <w:p>
            <w:r/>
            <w:r>
              <w:rPr>
                <w:sz w:val="16"/>
              </w:rPr>
              <w:t>Adv-Root</w:t>
            </w:r>
          </w:p>
        </w:tc>
        <w:tc>
          <w:tcPr>
            <w:tcW w:type="dxa" w:w="2340"/>
          </w:tcPr>
          <w:p>
            <w:r/>
            <w:r>
              <w:rPr>
                <w:sz w:val="16"/>
              </w:rPr>
              <w:t>black</w:t>
            </w:r>
          </w:p>
        </w:tc>
        <w:tc>
          <w:tcPr>
            <w:tcW w:type="dxa" w:w="2340"/>
          </w:tcPr>
          <w:p>
            <w:r/>
            <w:r>
              <w:rPr>
                <w:sz w:val="16"/>
              </w:rPr>
              <w:t>Nucleus</w:t>
            </w:r>
          </w:p>
        </w:tc>
        <w:tc>
          <w:tcPr>
            <w:tcW w:type="dxa" w:w="2340"/>
          </w:tcPr>
          <w:p>
            <w:r/>
            <w:r>
              <w:rPr>
                <w:sz w:val="16"/>
              </w:rPr>
              <w:t>nucleus</w:t>
            </w:r>
          </w:p>
        </w:tc>
      </w:tr>
      <w:tr>
        <w:tc>
          <w:tcPr>
            <w:tcW w:type="dxa" w:w="2340"/>
          </w:tcPr>
          <w:p>
            <w:r/>
            <w:r>
              <w:rPr>
                <w:sz w:val="16"/>
              </w:rPr>
              <w:t>Adv-Root</w:t>
            </w:r>
          </w:p>
        </w:tc>
        <w:tc>
          <w:tcPr>
            <w:tcW w:type="dxa" w:w="2340"/>
          </w:tcPr>
          <w:p>
            <w:r/>
            <w:r>
              <w:rPr>
                <w:sz w:val="16"/>
              </w:rPr>
              <w:t>blue</w:t>
            </w:r>
          </w:p>
        </w:tc>
        <w:tc>
          <w:tcPr>
            <w:tcW w:type="dxa" w:w="2340"/>
          </w:tcPr>
          <w:p>
            <w:r/>
            <w:r>
              <w:rPr>
                <w:sz w:val="16"/>
              </w:rPr>
              <w:t>RNA processing</w:t>
            </w:r>
          </w:p>
        </w:tc>
        <w:tc>
          <w:tcPr>
            <w:tcW w:type="dxa" w:w="2340"/>
          </w:tcPr>
          <w:p>
            <w:r/>
            <w:r>
              <w:rPr>
                <w:sz w:val="16"/>
              </w:rPr>
              <w:t>protein binding; RNA binding; RNA modification</w:t>
            </w:r>
          </w:p>
        </w:tc>
      </w:tr>
      <w:tr>
        <w:tc>
          <w:tcPr>
            <w:tcW w:type="dxa" w:w="2340"/>
          </w:tcPr>
          <w:p>
            <w:r/>
            <w:r>
              <w:rPr>
                <w:sz w:val="16"/>
              </w:rPr>
              <w:t>Adv-Root</w:t>
            </w:r>
          </w:p>
        </w:tc>
        <w:tc>
          <w:tcPr>
            <w:tcW w:type="dxa" w:w="2340"/>
          </w:tcPr>
          <w:p>
            <w:r/>
            <w:r>
              <w:rPr>
                <w:sz w:val="16"/>
              </w:rPr>
              <w:t>brown</w:t>
            </w:r>
          </w:p>
        </w:tc>
        <w:tc>
          <w:tcPr>
            <w:tcW w:type="dxa" w:w="2340"/>
          </w:tcPr>
          <w:p>
            <w:r/>
            <w:r>
              <w:rPr>
                <w:sz w:val="16"/>
              </w:rPr>
              <w:t>Lipid / GTPase signalling</w:t>
            </w:r>
          </w:p>
        </w:tc>
        <w:tc>
          <w:tcPr>
            <w:tcW w:type="dxa" w:w="2340"/>
          </w:tcPr>
          <w:p>
            <w:r/>
            <w:r>
              <w:rPr>
                <w:sz w:val="16"/>
              </w:rPr>
              <w:t>ATP-dependent diacylglycerol kinase activity; phospholipase C-activati...</w:t>
            </w:r>
          </w:p>
        </w:tc>
      </w:tr>
      <w:tr>
        <w:tc>
          <w:tcPr>
            <w:tcW w:type="dxa" w:w="2340"/>
          </w:tcPr>
          <w:p>
            <w:r/>
            <w:r>
              <w:rPr>
                <w:sz w:val="16"/>
              </w:rPr>
              <w:t>Adv-Root</w:t>
            </w:r>
          </w:p>
        </w:tc>
        <w:tc>
          <w:tcPr>
            <w:tcW w:type="dxa" w:w="2340"/>
          </w:tcPr>
          <w:p>
            <w:r/>
            <w:r>
              <w:rPr>
                <w:sz w:val="16"/>
              </w:rPr>
              <w:t>cyan</w:t>
            </w:r>
          </w:p>
        </w:tc>
        <w:tc>
          <w:tcPr>
            <w:tcW w:type="dxa" w:w="2340"/>
          </w:tcPr>
          <w:p>
            <w:r/>
            <w:r>
              <w:rPr>
                <w:sz w:val="16"/>
              </w:rPr>
              <w:t>Photosynthesis (light harvesting)</w:t>
            </w:r>
          </w:p>
        </w:tc>
        <w:tc>
          <w:tcPr>
            <w:tcW w:type="dxa" w:w="2340"/>
          </w:tcPr>
          <w:p>
            <w:r/>
            <w:r>
              <w:rPr>
                <w:sz w:val="16"/>
              </w:rPr>
              <w:t>photosynthesis, light harvesting; photosynthesis; photosystem I</w:t>
            </w:r>
          </w:p>
        </w:tc>
      </w:tr>
      <w:tr>
        <w:tc>
          <w:tcPr>
            <w:tcW w:type="dxa" w:w="2340"/>
          </w:tcPr>
          <w:p>
            <w:r/>
            <w:r>
              <w:rPr>
                <w:sz w:val="16"/>
              </w:rPr>
              <w:t>Adv-Root</w:t>
            </w:r>
          </w:p>
        </w:tc>
        <w:tc>
          <w:tcPr>
            <w:tcW w:type="dxa" w:w="2340"/>
          </w:tcPr>
          <w:p>
            <w:r/>
            <w:r>
              <w:rPr>
                <w:sz w:val="16"/>
              </w:rPr>
              <w:t>green</w:t>
            </w:r>
          </w:p>
        </w:tc>
        <w:tc>
          <w:tcPr>
            <w:tcW w:type="dxa" w:w="2340"/>
          </w:tcPr>
          <w:p>
            <w:r/>
            <w:r>
              <w:rPr>
                <w:sz w:val="16"/>
              </w:rPr>
              <w:t>Cell wall biogenesis</w:t>
            </w:r>
          </w:p>
        </w:tc>
        <w:tc>
          <w:tcPr>
            <w:tcW w:type="dxa" w:w="2340"/>
          </w:tcPr>
          <w:p>
            <w:r/>
            <w:r>
              <w:rPr>
                <w:sz w:val="16"/>
              </w:rPr>
              <w:t>xyloglucan metabolic process; cell wall; xyloglucan:xyloglucosyl trans...</w:t>
            </w:r>
          </w:p>
        </w:tc>
      </w:tr>
      <w:tr>
        <w:tc>
          <w:tcPr>
            <w:tcW w:type="dxa" w:w="2340"/>
          </w:tcPr>
          <w:p>
            <w:r/>
            <w:r>
              <w:rPr>
                <w:sz w:val="16"/>
              </w:rPr>
              <w:t>Adv-Root</w:t>
            </w:r>
          </w:p>
        </w:tc>
        <w:tc>
          <w:tcPr>
            <w:tcW w:type="dxa" w:w="2340"/>
          </w:tcPr>
          <w:p>
            <w:r/>
            <w:r>
              <w:rPr>
                <w:sz w:val="16"/>
              </w:rPr>
              <w:t>greenyellow</w:t>
            </w:r>
          </w:p>
        </w:tc>
        <w:tc>
          <w:tcPr>
            <w:tcW w:type="dxa" w:w="2340"/>
          </w:tcPr>
          <w:p>
            <w:r/>
            <w:r>
              <w:rPr>
                <w:sz w:val="16"/>
              </w:rPr>
              <w:t>Microtubule / nucleus</w:t>
            </w:r>
          </w:p>
        </w:tc>
        <w:tc>
          <w:tcPr>
            <w:tcW w:type="dxa" w:w="2340"/>
          </w:tcPr>
          <w:p>
            <w:r/>
            <w:r>
              <w:rPr>
                <w:sz w:val="16"/>
              </w:rPr>
              <w:t>microtubule binding; ATP binding; nucleus</w:t>
            </w:r>
          </w:p>
        </w:tc>
      </w:tr>
      <w:tr>
        <w:tc>
          <w:tcPr>
            <w:tcW w:type="dxa" w:w="2340"/>
          </w:tcPr>
          <w:p>
            <w:r/>
            <w:r>
              <w:rPr>
                <w:sz w:val="16"/>
              </w:rPr>
              <w:t>Adv-Root</w:t>
            </w:r>
          </w:p>
        </w:tc>
        <w:tc>
          <w:tcPr>
            <w:tcW w:type="dxa" w:w="2340"/>
          </w:tcPr>
          <w:p>
            <w:r/>
            <w:r>
              <w:rPr>
                <w:sz w:val="16"/>
              </w:rPr>
              <w:t>lightcyan</w:t>
            </w:r>
          </w:p>
        </w:tc>
        <w:tc>
          <w:tcPr>
            <w:tcW w:type="dxa" w:w="2340"/>
          </w:tcPr>
          <w:p>
            <w:r/>
            <w:r>
              <w:rPr>
                <w:sz w:val="16"/>
              </w:rPr>
              <w:t>Protein phosphorylation</w:t>
            </w:r>
          </w:p>
        </w:tc>
        <w:tc>
          <w:tcPr>
            <w:tcW w:type="dxa" w:w="2340"/>
          </w:tcPr>
          <w:p>
            <w:r/>
            <w:r>
              <w:rPr>
                <w:sz w:val="16"/>
              </w:rPr>
              <w:t>protein phosphorylation; protein kinase activity; ATP binding</w:t>
            </w:r>
          </w:p>
        </w:tc>
      </w:tr>
      <w:tr>
        <w:tc>
          <w:tcPr>
            <w:tcW w:type="dxa" w:w="2340"/>
          </w:tcPr>
          <w:p>
            <w:r/>
            <w:r>
              <w:rPr>
                <w:sz w:val="16"/>
              </w:rPr>
              <w:t>Adv-Root</w:t>
            </w:r>
          </w:p>
        </w:tc>
        <w:tc>
          <w:tcPr>
            <w:tcW w:type="dxa" w:w="2340"/>
          </w:tcPr>
          <w:p>
            <w:r/>
            <w:r>
              <w:rPr>
                <w:sz w:val="16"/>
              </w:rPr>
              <w:t>magenta</w:t>
            </w:r>
          </w:p>
        </w:tc>
        <w:tc>
          <w:tcPr>
            <w:tcW w:type="dxa" w:w="2340"/>
          </w:tcPr>
          <w:p>
            <w:r/>
            <w:r>
              <w:rPr>
                <w:sz w:val="16"/>
              </w:rPr>
              <w:t>Terpenoid biosynthesis</w:t>
            </w:r>
          </w:p>
        </w:tc>
        <w:tc>
          <w:tcPr>
            <w:tcW w:type="dxa" w:w="2340"/>
          </w:tcPr>
          <w:p>
            <w:r/>
            <w:r>
              <w:rPr>
                <w:sz w:val="16"/>
              </w:rPr>
              <w:t>acyltransferase activity; terpene synthase activity; terpenoid biosynt...</w:t>
            </w:r>
          </w:p>
        </w:tc>
      </w:tr>
      <w:tr>
        <w:tc>
          <w:tcPr>
            <w:tcW w:type="dxa" w:w="2340"/>
          </w:tcPr>
          <w:p>
            <w:r/>
            <w:r>
              <w:rPr>
                <w:sz w:val="16"/>
              </w:rPr>
              <w:t>Adv-Root</w:t>
            </w:r>
          </w:p>
        </w:tc>
        <w:tc>
          <w:tcPr>
            <w:tcW w:type="dxa" w:w="2340"/>
          </w:tcPr>
          <w:p>
            <w:r/>
            <w:r>
              <w:rPr>
                <w:sz w:val="16"/>
              </w:rPr>
              <w:t>midnightblue</w:t>
            </w:r>
          </w:p>
        </w:tc>
        <w:tc>
          <w:tcPr>
            <w:tcW w:type="dxa" w:w="2340"/>
          </w:tcPr>
          <w:p>
            <w:r/>
            <w:r>
              <w:rPr>
                <w:sz w:val="16"/>
              </w:rPr>
              <w:t>Membrane transport</w:t>
            </w:r>
          </w:p>
        </w:tc>
        <w:tc>
          <w:tcPr>
            <w:tcW w:type="dxa" w:w="2340"/>
          </w:tcPr>
          <w:p>
            <w:r/>
            <w:r>
              <w:rPr>
                <w:sz w:val="16"/>
              </w:rPr>
              <w:t>transmembrane transporter activity; transmembrane transport; membrane</w:t>
            </w:r>
          </w:p>
        </w:tc>
      </w:tr>
      <w:tr>
        <w:tc>
          <w:tcPr>
            <w:tcW w:type="dxa" w:w="2340"/>
          </w:tcPr>
          <w:p>
            <w:r/>
            <w:r>
              <w:rPr>
                <w:sz w:val="16"/>
              </w:rPr>
              <w:t>Adv-Root</w:t>
            </w:r>
          </w:p>
        </w:tc>
        <w:tc>
          <w:tcPr>
            <w:tcW w:type="dxa" w:w="2340"/>
          </w:tcPr>
          <w:p>
            <w:r/>
            <w:r>
              <w:rPr>
                <w:sz w:val="16"/>
              </w:rPr>
              <w:t>pink</w:t>
            </w:r>
          </w:p>
        </w:tc>
        <w:tc>
          <w:tcPr>
            <w:tcW w:type="dxa" w:w="2340"/>
          </w:tcPr>
          <w:p>
            <w:r/>
            <w:r>
              <w:rPr>
                <w:sz w:val="16"/>
              </w:rPr>
              <w:t>Transcription / ubiquitination</w:t>
            </w:r>
          </w:p>
        </w:tc>
        <w:tc>
          <w:tcPr>
            <w:tcW w:type="dxa" w:w="2340"/>
          </w:tcPr>
          <w:p>
            <w:r/>
            <w:r>
              <w:rPr>
                <w:sz w:val="16"/>
              </w:rPr>
              <w:t>DNA-binding transcription factor activity; ubiquitin protein ligase ac...</w:t>
            </w:r>
          </w:p>
        </w:tc>
      </w:tr>
      <w:tr>
        <w:tc>
          <w:tcPr>
            <w:tcW w:type="dxa" w:w="2340"/>
          </w:tcPr>
          <w:p>
            <w:r/>
            <w:r>
              <w:rPr>
                <w:sz w:val="16"/>
              </w:rPr>
              <w:t>Adv-Root</w:t>
            </w:r>
          </w:p>
        </w:tc>
        <w:tc>
          <w:tcPr>
            <w:tcW w:type="dxa" w:w="2340"/>
          </w:tcPr>
          <w:p>
            <w:r/>
            <w:r>
              <w:rPr>
                <w:sz w:val="16"/>
              </w:rPr>
              <w:t>purple</w:t>
            </w:r>
          </w:p>
        </w:tc>
        <w:tc>
          <w:tcPr>
            <w:tcW w:type="dxa" w:w="2340"/>
          </w:tcPr>
          <w:p>
            <w:r/>
            <w:r>
              <w:rPr>
                <w:sz w:val="16"/>
              </w:rPr>
              <w:t>Cellulose biosynthesis</w:t>
            </w:r>
          </w:p>
        </w:tc>
        <w:tc>
          <w:tcPr>
            <w:tcW w:type="dxa" w:w="2340"/>
          </w:tcPr>
          <w:p>
            <w:r/>
            <w:r>
              <w:rPr>
                <w:sz w:val="16"/>
              </w:rPr>
              <w:t>cellulose synthase (UDP-forming) activity; cellulose biosynthetic proc...</w:t>
            </w:r>
          </w:p>
        </w:tc>
      </w:tr>
      <w:tr>
        <w:tc>
          <w:tcPr>
            <w:tcW w:type="dxa" w:w="2340"/>
          </w:tcPr>
          <w:p>
            <w:r/>
            <w:r>
              <w:rPr>
                <w:sz w:val="16"/>
              </w:rPr>
              <w:t>Adv-Root</w:t>
            </w:r>
          </w:p>
        </w:tc>
        <w:tc>
          <w:tcPr>
            <w:tcW w:type="dxa" w:w="2340"/>
          </w:tcPr>
          <w:p>
            <w:r/>
            <w:r>
              <w:rPr>
                <w:sz w:val="16"/>
              </w:rPr>
              <w:t>salmon</w:t>
            </w:r>
          </w:p>
        </w:tc>
        <w:tc>
          <w:tcPr>
            <w:tcW w:type="dxa" w:w="2340"/>
          </w:tcPr>
          <w:p>
            <w:r/>
            <w:r>
              <w:rPr>
                <w:sz w:val="16"/>
              </w:rPr>
              <w:t>Cell cycle / mitosis</w:t>
            </w:r>
          </w:p>
        </w:tc>
        <w:tc>
          <w:tcPr>
            <w:tcW w:type="dxa" w:w="2340"/>
          </w:tcPr>
          <w:p>
            <w:r/>
            <w:r>
              <w:rPr>
                <w:sz w:val="16"/>
              </w:rPr>
              <w:t>cyclin-dependent protein serine/threonine kinase regulator activity; m...</w:t>
            </w:r>
          </w:p>
        </w:tc>
      </w:tr>
      <w:tr>
        <w:tc>
          <w:tcPr>
            <w:tcW w:type="dxa" w:w="2340"/>
          </w:tcPr>
          <w:p>
            <w:r/>
            <w:r>
              <w:rPr>
                <w:sz w:val="16"/>
              </w:rPr>
              <w:t>Adv-Root</w:t>
            </w:r>
          </w:p>
        </w:tc>
        <w:tc>
          <w:tcPr>
            <w:tcW w:type="dxa" w:w="2340"/>
          </w:tcPr>
          <w:p>
            <w:r/>
            <w:r>
              <w:rPr>
                <w:sz w:val="16"/>
              </w:rPr>
              <w:t>turquoise</w:t>
            </w:r>
          </w:p>
        </w:tc>
        <w:tc>
          <w:tcPr>
            <w:tcW w:type="dxa" w:w="2340"/>
          </w:tcPr>
          <w:p>
            <w:r/>
            <w:r>
              <w:rPr>
                <w:sz w:val="16"/>
              </w:rPr>
              <w:t>Oxidative stress (peroxidase)</w:t>
            </w:r>
          </w:p>
        </w:tc>
        <w:tc>
          <w:tcPr>
            <w:tcW w:type="dxa" w:w="2340"/>
          </w:tcPr>
          <w:p>
            <w:r/>
            <w:r>
              <w:rPr>
                <w:sz w:val="16"/>
              </w:rPr>
              <w:t>peroxidase activity; hydrogen peroxide catabolic process; heme binding</w:t>
            </w:r>
          </w:p>
        </w:tc>
      </w:tr>
      <w:tr>
        <w:tc>
          <w:tcPr>
            <w:tcW w:type="dxa" w:w="2340"/>
          </w:tcPr>
          <w:p>
            <w:r/>
            <w:r>
              <w:rPr>
                <w:sz w:val="16"/>
              </w:rPr>
              <w:t>Leaf</w:t>
            </w:r>
          </w:p>
        </w:tc>
        <w:tc>
          <w:tcPr>
            <w:tcW w:type="dxa" w:w="2340"/>
          </w:tcPr>
          <w:p>
            <w:r/>
            <w:r>
              <w:rPr>
                <w:sz w:val="16"/>
              </w:rPr>
              <w:t>black</w:t>
            </w:r>
          </w:p>
        </w:tc>
        <w:tc>
          <w:tcPr>
            <w:tcW w:type="dxa" w:w="2340"/>
          </w:tcPr>
          <w:p>
            <w:r/>
            <w:r>
              <w:rPr>
                <w:sz w:val="16"/>
              </w:rPr>
              <w:t>Photosynthesis &amp; ribosome</w:t>
            </w:r>
          </w:p>
        </w:tc>
        <w:tc>
          <w:tcPr>
            <w:tcW w:type="dxa" w:w="2340"/>
          </w:tcPr>
          <w:p>
            <w:r/>
            <w:r>
              <w:rPr>
                <w:sz w:val="16"/>
              </w:rPr>
              <w:t>photosynthesis; ribosome; photosystem I</w:t>
            </w:r>
          </w:p>
        </w:tc>
      </w:tr>
      <w:tr>
        <w:tc>
          <w:tcPr>
            <w:tcW w:type="dxa" w:w="2340"/>
          </w:tcPr>
          <w:p>
            <w:r/>
            <w:r>
              <w:rPr>
                <w:sz w:val="16"/>
              </w:rPr>
              <w:t>Leaf</w:t>
            </w:r>
          </w:p>
        </w:tc>
        <w:tc>
          <w:tcPr>
            <w:tcW w:type="dxa" w:w="2340"/>
          </w:tcPr>
          <w:p>
            <w:r/>
            <w:r>
              <w:rPr>
                <w:sz w:val="16"/>
              </w:rPr>
              <w:t>blue</w:t>
            </w:r>
          </w:p>
        </w:tc>
        <w:tc>
          <w:tcPr>
            <w:tcW w:type="dxa" w:w="2340"/>
          </w:tcPr>
          <w:p>
            <w:r/>
            <w:r>
              <w:rPr>
                <w:sz w:val="16"/>
              </w:rPr>
              <w:t>Phosphate starvation / transport</w:t>
            </w:r>
          </w:p>
        </w:tc>
        <w:tc>
          <w:tcPr>
            <w:tcW w:type="dxa" w:w="2340"/>
          </w:tcPr>
          <w:p>
            <w:r/>
            <w:r>
              <w:rPr>
                <w:sz w:val="16"/>
              </w:rPr>
              <w:t>DNA-binding transcription factor activity; cellular response to phosph...</w:t>
            </w:r>
          </w:p>
        </w:tc>
      </w:tr>
      <w:tr>
        <w:tc>
          <w:tcPr>
            <w:tcW w:type="dxa" w:w="2340"/>
          </w:tcPr>
          <w:p>
            <w:r/>
            <w:r>
              <w:rPr>
                <w:sz w:val="16"/>
              </w:rPr>
              <w:t>Leaf</w:t>
            </w:r>
          </w:p>
        </w:tc>
        <w:tc>
          <w:tcPr>
            <w:tcW w:type="dxa" w:w="2340"/>
          </w:tcPr>
          <w:p>
            <w:r/>
            <w:r>
              <w:rPr>
                <w:sz w:val="16"/>
              </w:rPr>
              <w:t>brown</w:t>
            </w:r>
          </w:p>
        </w:tc>
        <w:tc>
          <w:tcPr>
            <w:tcW w:type="dxa" w:w="2340"/>
          </w:tcPr>
          <w:p>
            <w:r/>
            <w:r>
              <w:rPr>
                <w:sz w:val="16"/>
              </w:rPr>
              <w:t>Lignin / phenolic metabolism</w:t>
            </w:r>
          </w:p>
        </w:tc>
        <w:tc>
          <w:tcPr>
            <w:tcW w:type="dxa" w:w="2340"/>
          </w:tcPr>
          <w:p>
            <w:r/>
            <w:r>
              <w:rPr>
                <w:sz w:val="16"/>
              </w:rPr>
              <w:t>heme binding; endopeptidase inhibitor activity; cation binding</w:t>
            </w:r>
          </w:p>
        </w:tc>
      </w:tr>
      <w:tr>
        <w:tc>
          <w:tcPr>
            <w:tcW w:type="dxa" w:w="2340"/>
          </w:tcPr>
          <w:p>
            <w:r/>
            <w:r>
              <w:rPr>
                <w:sz w:val="16"/>
              </w:rPr>
              <w:t>Leaf</w:t>
            </w:r>
          </w:p>
        </w:tc>
        <w:tc>
          <w:tcPr>
            <w:tcW w:type="dxa" w:w="2340"/>
          </w:tcPr>
          <w:p>
            <w:r/>
            <w:r>
              <w:rPr>
                <w:sz w:val="16"/>
              </w:rPr>
              <w:t>green</w:t>
            </w:r>
          </w:p>
        </w:tc>
        <w:tc>
          <w:tcPr>
            <w:tcW w:type="dxa" w:w="2340"/>
          </w:tcPr>
          <w:p>
            <w:r/>
            <w:r>
              <w:rPr>
                <w:sz w:val="16"/>
              </w:rPr>
              <w:t>Protein ubiquitination</w:t>
            </w:r>
          </w:p>
        </w:tc>
        <w:tc>
          <w:tcPr>
            <w:tcW w:type="dxa" w:w="2340"/>
          </w:tcPr>
          <w:p>
            <w:r/>
            <w:r>
              <w:rPr>
                <w:sz w:val="16"/>
              </w:rPr>
              <w:t>protein ubiquitination; ubiquitin-protein transferase activity; cell s...</w:t>
            </w:r>
          </w:p>
        </w:tc>
      </w:tr>
      <w:tr>
        <w:tc>
          <w:tcPr>
            <w:tcW w:type="dxa" w:w="2340"/>
          </w:tcPr>
          <w:p>
            <w:r/>
            <w:r>
              <w:rPr>
                <w:sz w:val="16"/>
              </w:rPr>
              <w:t>Leaf</w:t>
            </w:r>
          </w:p>
        </w:tc>
        <w:tc>
          <w:tcPr>
            <w:tcW w:type="dxa" w:w="2340"/>
          </w:tcPr>
          <w:p>
            <w:r/>
            <w:r>
              <w:rPr>
                <w:sz w:val="16"/>
              </w:rPr>
              <w:t>greenyellow</w:t>
            </w:r>
          </w:p>
        </w:tc>
        <w:tc>
          <w:tcPr>
            <w:tcW w:type="dxa" w:w="2340"/>
          </w:tcPr>
          <w:p>
            <w:r/>
            <w:r>
              <w:rPr>
                <w:sz w:val="16"/>
              </w:rPr>
              <w:t>Chitinase / defense</w:t>
            </w:r>
          </w:p>
        </w:tc>
        <w:tc>
          <w:tcPr>
            <w:tcW w:type="dxa" w:w="2340"/>
          </w:tcPr>
          <w:p>
            <w:r/>
            <w:r>
              <w:rPr>
                <w:sz w:val="16"/>
              </w:rPr>
              <w:t>chitinase activity; chitin catabolic process; chitin binding</w:t>
            </w:r>
          </w:p>
        </w:tc>
      </w:tr>
      <w:tr>
        <w:tc>
          <w:tcPr>
            <w:tcW w:type="dxa" w:w="2340"/>
          </w:tcPr>
          <w:p>
            <w:r/>
            <w:r>
              <w:rPr>
                <w:sz w:val="16"/>
              </w:rPr>
              <w:t>Leaf</w:t>
            </w:r>
          </w:p>
        </w:tc>
        <w:tc>
          <w:tcPr>
            <w:tcW w:type="dxa" w:w="2340"/>
          </w:tcPr>
          <w:p>
            <w:r/>
            <w:r>
              <w:rPr>
                <w:sz w:val="16"/>
              </w:rPr>
              <w:t>magenta</w:t>
            </w:r>
          </w:p>
        </w:tc>
        <w:tc>
          <w:tcPr>
            <w:tcW w:type="dxa" w:w="2340"/>
          </w:tcPr>
          <w:p>
            <w:r/>
            <w:r>
              <w:rPr>
                <w:sz w:val="16"/>
              </w:rPr>
              <w:t>Transcription / ethylene</w:t>
            </w:r>
          </w:p>
        </w:tc>
        <w:tc>
          <w:tcPr>
            <w:tcW w:type="dxa" w:w="2340"/>
          </w:tcPr>
          <w:p>
            <w:r/>
            <w:r>
              <w:rPr>
                <w:sz w:val="16"/>
              </w:rPr>
              <w:t>regulation of DNA-templated transcription; ethylene-activated signalin...</w:t>
            </w:r>
          </w:p>
        </w:tc>
      </w:tr>
      <w:tr>
        <w:tc>
          <w:tcPr>
            <w:tcW w:type="dxa" w:w="2340"/>
          </w:tcPr>
          <w:p>
            <w:r/>
            <w:r>
              <w:rPr>
                <w:sz w:val="16"/>
              </w:rPr>
              <w:t>Leaf</w:t>
            </w:r>
          </w:p>
        </w:tc>
        <w:tc>
          <w:tcPr>
            <w:tcW w:type="dxa" w:w="2340"/>
          </w:tcPr>
          <w:p>
            <w:r/>
            <w:r>
              <w:rPr>
                <w:sz w:val="16"/>
              </w:rPr>
              <w:t>pink</w:t>
            </w:r>
          </w:p>
        </w:tc>
        <w:tc>
          <w:tcPr>
            <w:tcW w:type="dxa" w:w="2340"/>
          </w:tcPr>
          <w:p>
            <w:r/>
            <w:r>
              <w:rPr>
                <w:sz w:val="16"/>
              </w:rPr>
              <w:t>Cell wall / glucan</w:t>
            </w:r>
          </w:p>
        </w:tc>
        <w:tc>
          <w:tcPr>
            <w:tcW w:type="dxa" w:w="2340"/>
          </w:tcPr>
          <w:p>
            <w:r/>
            <w:r>
              <w:rPr>
                <w:sz w:val="16"/>
              </w:rPr>
              <w:t>cell wall; xyloglucan:xyloglucosyl transferase activity; glucan metabo...</w:t>
            </w:r>
          </w:p>
        </w:tc>
      </w:tr>
      <w:tr>
        <w:tc>
          <w:tcPr>
            <w:tcW w:type="dxa" w:w="2340"/>
          </w:tcPr>
          <w:p>
            <w:r/>
            <w:r>
              <w:rPr>
                <w:sz w:val="16"/>
              </w:rPr>
              <w:t>Leaf</w:t>
            </w:r>
          </w:p>
        </w:tc>
        <w:tc>
          <w:tcPr>
            <w:tcW w:type="dxa" w:w="2340"/>
          </w:tcPr>
          <w:p>
            <w:r/>
            <w:r>
              <w:rPr>
                <w:sz w:val="16"/>
              </w:rPr>
              <w:t>purple</w:t>
            </w:r>
          </w:p>
        </w:tc>
        <w:tc>
          <w:tcPr>
            <w:tcW w:type="dxa" w:w="2340"/>
          </w:tcPr>
          <w:p>
            <w:r/>
            <w:r>
              <w:rPr>
                <w:sz w:val="16"/>
              </w:rPr>
              <w:t>Fe–S cluster / biosynthesis</w:t>
            </w:r>
          </w:p>
        </w:tc>
        <w:tc>
          <w:tcPr>
            <w:tcW w:type="dxa" w:w="2340"/>
          </w:tcPr>
          <w:p>
            <w:r/>
            <w:r>
              <w:rPr>
                <w:sz w:val="16"/>
              </w:rPr>
              <w:t>iron-sulfur cluster binding; biosynthetic process</w:t>
            </w:r>
          </w:p>
        </w:tc>
      </w:tr>
      <w:tr>
        <w:tc>
          <w:tcPr>
            <w:tcW w:type="dxa" w:w="2340"/>
          </w:tcPr>
          <w:p>
            <w:r/>
            <w:r>
              <w:rPr>
                <w:sz w:val="16"/>
              </w:rPr>
              <w:t>Leaf</w:t>
            </w:r>
          </w:p>
        </w:tc>
        <w:tc>
          <w:tcPr>
            <w:tcW w:type="dxa" w:w="2340"/>
          </w:tcPr>
          <w:p>
            <w:r/>
            <w:r>
              <w:rPr>
                <w:sz w:val="16"/>
              </w:rPr>
              <w:t>red</w:t>
            </w:r>
          </w:p>
        </w:tc>
        <w:tc>
          <w:tcPr>
            <w:tcW w:type="dxa" w:w="2340"/>
          </w:tcPr>
          <w:p>
            <w:r/>
            <w:r>
              <w:rPr>
                <w:sz w:val="16"/>
              </w:rPr>
              <w:t>RNA processing</w:t>
            </w:r>
          </w:p>
        </w:tc>
        <w:tc>
          <w:tcPr>
            <w:tcW w:type="dxa" w:w="2340"/>
          </w:tcPr>
          <w:p>
            <w:r/>
            <w:r>
              <w:rPr>
                <w:sz w:val="16"/>
              </w:rPr>
              <w:t>RNA binding; protein binding; RNA modification</w:t>
            </w:r>
          </w:p>
        </w:tc>
      </w:tr>
      <w:tr>
        <w:tc>
          <w:tcPr>
            <w:tcW w:type="dxa" w:w="2340"/>
          </w:tcPr>
          <w:p>
            <w:r/>
            <w:r>
              <w:rPr>
                <w:sz w:val="16"/>
              </w:rPr>
              <w:t>Leaf</w:t>
            </w:r>
          </w:p>
        </w:tc>
        <w:tc>
          <w:tcPr>
            <w:tcW w:type="dxa" w:w="2340"/>
          </w:tcPr>
          <w:p>
            <w:r/>
            <w:r>
              <w:rPr>
                <w:sz w:val="16"/>
              </w:rPr>
              <w:t>tan</w:t>
            </w:r>
          </w:p>
        </w:tc>
        <w:tc>
          <w:tcPr>
            <w:tcW w:type="dxa" w:w="2340"/>
          </w:tcPr>
          <w:p>
            <w:r/>
            <w:r>
              <w:rPr>
                <w:sz w:val="16"/>
              </w:rPr>
              <w:t>Oxidative stress (peroxidase)</w:t>
            </w:r>
          </w:p>
        </w:tc>
        <w:tc>
          <w:tcPr>
            <w:tcW w:type="dxa" w:w="2340"/>
          </w:tcPr>
          <w:p>
            <w:r/>
            <w:r>
              <w:rPr>
                <w:sz w:val="16"/>
              </w:rPr>
              <w:t>hydrogen peroxide catabolic process; peroxidase activity; response to ...</w:t>
            </w:r>
          </w:p>
        </w:tc>
      </w:tr>
      <w:tr>
        <w:tc>
          <w:tcPr>
            <w:tcW w:type="dxa" w:w="2340"/>
          </w:tcPr>
          <w:p>
            <w:r/>
            <w:r>
              <w:rPr>
                <w:sz w:val="16"/>
              </w:rPr>
              <w:t>Leaf</w:t>
            </w:r>
          </w:p>
        </w:tc>
        <w:tc>
          <w:tcPr>
            <w:tcW w:type="dxa" w:w="2340"/>
          </w:tcPr>
          <w:p>
            <w:r/>
            <w:r>
              <w:rPr>
                <w:sz w:val="16"/>
              </w:rPr>
              <w:t>turquoise</w:t>
            </w:r>
          </w:p>
        </w:tc>
        <w:tc>
          <w:tcPr>
            <w:tcW w:type="dxa" w:w="2340"/>
          </w:tcPr>
          <w:p>
            <w:r/>
            <w:r>
              <w:rPr>
                <w:sz w:val="16"/>
              </w:rPr>
              <w:t>Chromatin / nucleosome</w:t>
            </w:r>
          </w:p>
        </w:tc>
        <w:tc>
          <w:tcPr>
            <w:tcW w:type="dxa" w:w="2340"/>
          </w:tcPr>
          <w:p>
            <w:r/>
            <w:r>
              <w:rPr>
                <w:sz w:val="16"/>
              </w:rPr>
              <w:t>nucleosome; structural constituent of chromatin; microtubule binding</w:t>
            </w:r>
          </w:p>
        </w:tc>
      </w:tr>
    </w:tbl>
    <w:p>
      <w:pPr>
        <w:pStyle w:val="Heading2"/>
      </w:pPr>
      <w:r>
        <w:t>MOFA+ confirms dominant flight factor and cross-omics coordination</w:t>
      </w:r>
    </w:p>
    <w:p>
      <w:r>
        <w:t xml:space="preserve">MOFA+ integration of 21 matched leaf samples across three omics views (transcriptome: 2,000 genes; 16S: 348 ASVs; ITS: 77 ASVs) identified 5 factors </w:t>
      </w:r>
      <w:r>
        <w:rPr>
          <w:b/>
        </w:rPr>
        <w:t>[TODO: the 16S and ITS views were built from mismatched samples (tissue not matched, columns misordered); the microbiome variance fractions and Factor 2–3 associations need re-running]</w:t>
      </w:r>
      <w:r>
        <w:t>. Factor 1 was the dominant signal, explaining 48.0% of transcriptome variance, 12.0% of 16S variance, and 3.0% of ITS variance (Fig. 5A). Factor 1 was significantly correlated with flight status (Spearman ρ=−0.76, padj=0.001; Fig. 5B),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 (Fig. S6).</w:t>
      </w:r>
    </w:p>
    <w:p>
      <w:pPr>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fig5a_mofa_variance.png"/>
                    <pic:cNvPicPr/>
                  </pic:nvPicPr>
                  <pic:blipFill>
                    <a:blip r:embed="rId18"/>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1" name="Picture 11"/>
            <wp:cNvGraphicFramePr>
              <a:graphicFrameLocks noChangeAspect="1"/>
            </wp:cNvGraphicFramePr>
            <a:graphic>
              <a:graphicData uri="http://schemas.openxmlformats.org/drawingml/2006/picture">
                <pic:pic>
                  <pic:nvPicPr>
                    <pic:cNvPr id="0" name="fig5b_mofa_correlations.png"/>
                    <pic:cNvPicPr/>
                  </pic:nvPicPr>
                  <pic:blipFill>
                    <a:blip r:embed="rId19"/>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Fig. 6; Table S9). The flight-associated turquoise module positively correlated with </w:t>
      </w:r>
      <w:r>
        <w:rPr>
          <w:i/>
        </w:rPr>
        <w:t>Methylobacterium-Methylorubrum</w:t>
      </w:r>
      <w:r>
        <w:t xml:space="preserve"> (ρ=+0.76, padj=0.003),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528087"/>
            <wp:docPr id="12" name="Picture 12"/>
            <wp:cNvGraphicFramePr>
              <a:graphicFrameLocks noChangeAspect="1"/>
            </wp:cNvGraphicFramePr>
            <a:graphic>
              <a:graphicData uri="http://schemas.openxmlformats.org/drawingml/2006/picture">
                <pic:pic>
                  <pic:nvPicPr>
                    <pic:cNvPr id="0" name="fig6_module_taxon_network.png"/>
                    <pic:cNvPicPr/>
                  </pic:nvPicPr>
                  <pic:blipFill>
                    <a:blip r:embed="rId20"/>
                    <a:stretch>
                      <a:fillRect/>
                    </a:stretch>
                  </pic:blipFill>
                  <pic:spPr>
                    <a:xfrm>
                      <a:off x="0" y="0"/>
                      <a:ext cx="5760720" cy="4528087"/>
                    </a:xfrm>
                    <a:prstGeom prst="rect"/>
                  </pic:spPr>
                </pic:pic>
              </a:graphicData>
            </a:graphic>
          </wp:inline>
        </w:drawing>
      </w:r>
    </w:p>
    <w:p>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Heading2"/>
      </w:pPr>
      <w:r>
        <w:t>Predicted bacterial functions</w:t>
      </w:r>
    </w:p>
    <w:p>
      <w:r>
        <w:t xml:space="preserve">FAPROTAX assigned bacterial ASVs to 26 functional categories (Table S6). By read count the largest were aerobic chemoheterotrophy (787,792 reads, 185 taxa), nitrogen fixation (164,614 reads, 12 taxa), dark hydrogen oxidation (103,694 reads, 20 taxa), methanol oxidation (96,687 reads, 15 taxa) and methanotrophy (96,514 reads, 15 taxa) (Fig. 7). The methanol oxidation and methanotrophy assignments were primarily </w:t>
      </w:r>
      <w:r>
        <w:rPr>
          <w:i/>
        </w:rPr>
        <w:t>Methylobacterium-Methylorubrum</w:t>
      </w:r>
      <w:r>
        <w:t xml:space="preserve">, the same genus showing the strongest positive correlation with the flight-associated WGCNA module </w:t>
      </w:r>
      <w:r>
        <w:rPr>
          <w:b/>
        </w:rPr>
        <w:t>[TODO: the FAPROTAX collapse misparses three database lines, moving 31 ASVs into spurious categories, and matches taxon names as substrings (*Methylobacterium* is a methylotroph, not a methanotroph); re-run with a corrected parser]</w:t>
      </w:r>
      <w:r>
        <w:t>.</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 (Table S7).</w:t>
      </w:r>
    </w:p>
    <w:p>
      <w:pPr>
        <w:jc w:val="center"/>
      </w:pPr>
      <w:r>
        <w:drawing>
          <wp:inline xmlns:a="http://schemas.openxmlformats.org/drawingml/2006/main" xmlns:pic="http://schemas.openxmlformats.org/drawingml/2006/picture">
            <wp:extent cx="5760720" cy="4320540"/>
            <wp:docPr id="13" name="Picture 13"/>
            <wp:cNvGraphicFramePr>
              <a:graphicFrameLocks noChangeAspect="1"/>
            </wp:cNvGraphicFramePr>
            <a:graphic>
              <a:graphicData uri="http://schemas.openxmlformats.org/drawingml/2006/picture">
                <pic:pic>
                  <pic:nvPicPr>
                    <pic:cNvPr id="0" name="fig7_faprotax.png"/>
                    <pic:cNvPicPr/>
                  </pic:nvPicPr>
                  <pic:blipFill>
                    <a:blip r:embed="rId21"/>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padj=0.32) indicates that the host transcriptional response in this module is driven by microbial community changes rather than directly by the spaceflight environment. Although the black module's own GO enrichment was limited (its only enriched term was "nucleus"), the broader adventitious-root oxidative-stress program — concentrated in the larger turquoise module — together with the black module's tight coupling to fungal dysbiosis suggests that fungal community restructuring may trigger host defense and redox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n=1–6 per flight × light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metatranscriptomic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1. Study design and analysis overview.</w:t>
      </w:r>
      <w:r>
        <w:t xml:space="preserve"> The ISS VEG-05 experiment (tomato cv. Red Robin; Flight vs Ground; red-rich vs blue-rich LED; leaf and adventitious root) feeds two data streams — host transcriptome (OSD-767) and microbiome (OSD-766) — that are combined through DESeq2, WGCNA, a dysbiosis index, MOFA+, and module–taxon networks.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(mean Bray-Curtis distance to ground samples, relative to ground-ground distance);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 (flight main effect of the flight × light model: the flight effect averaged over the two light treatments).</w:t>
      </w:r>
    </w:p>
    <w:p>
      <w:pPr>
        <w:pStyle w:val="ListBullet"/>
      </w:pPr>
      <w:r>
        <w:rPr>
          <w:b/>
        </w:rPr>
        <w:t>Figure 3C.</w:t>
      </w:r>
      <w:r>
        <w:t xml:space="preserve"> Adventitious-root Flight-vs-Ground volcano (flight main effect, averaged over the two light treatments; predominantly upregulation).</w:t>
      </w:r>
    </w:p>
    <w:p>
      <w:pPr>
        <w:pStyle w:val="ListBullet"/>
      </w:pPr>
      <w:r>
        <w:rPr>
          <w:b/>
        </w:rPr>
        <w:t>Figure 4 (Leaf).</w:t>
      </w:r>
      <w:r>
        <w:t xml:space="preserve"> WGCNA module–trait correlations (flight, light, 16S/ITS dysbiosis). Each module is labelled with its dominant GO biology (Table 1); cells show Pearson r with significance stars.</w:t>
      </w:r>
    </w:p>
    <w:p>
      <w:pPr>
        <w:pStyle w:val="ListBullet"/>
      </w:pPr>
      <w:r>
        <w:rPr>
          <w:b/>
        </w:rPr>
        <w:t>Figure 4 (Adv-Root).</w:t>
      </w:r>
      <w:r>
        <w:t xml:space="preserve"> Module–trait correlations with GO-biology labels (Table 1). The black (nucleus) module tracks ITS dysbiosis (r=−0.85) but not flight; the turquoise (oxidative-stress/peroxidase) module is the largest flight-correlated module.</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Significant leaf module–taxon correlations (BH padj&lt;0.05); modules carry their GO-biology labels (Table 1). The flight-associated turquoise (chromatin/nucleosome) module positively tracks Methylobacterium, Burkholderia and Azospirillum, while the blue (phosphate-starvation) module shows the inverse.</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Structure and functions of the bacterial microbiota of plants. </w:t>
      </w:r>
      <w:r>
        <w:rPr>
          <w:i/>
        </w:rPr>
        <w:t>Annu. Rev. Plant Biol.</w:t>
      </w:r>
      <w:r>
        <w:t xml:space="preserve"> 64, 807–838 (2013).</w:t>
      </w:r>
    </w:p>
    <w:p>
      <w:r>
        <w:t xml:space="preserve">[2] TODO: citation needed. The reference previously listed here (Wheeler, R.M. et al., </w:t>
      </w:r>
      <w:r>
        <w:rPr>
          <w:i/>
        </w:rPr>
        <w:t>Adv. Space Res.</w:t>
      </w:r>
      <w:r>
        <w:t xml:space="preserve"> 41, 1057–1066, 2008) matches no published record.</w:t>
      </w:r>
    </w:p>
    <w:p>
      <w:r>
        <w:t xml:space="preserve">[3] Spern, C.J. et al. The microbial communities of a tomato crop grown in Veggie under different lighting regimes on the International Space Station. </w:t>
      </w:r>
      <w:r>
        <w:rPr>
          <w:i/>
        </w:rPr>
        <w:t>Life Sci. Space Res.</w:t>
      </w:r>
      <w:r>
        <w:t xml:space="preserve"> 52, 84–97 (2026).</w:t>
      </w:r>
    </w:p>
    <w:p>
      <w:r>
        <w:t xml:space="preserve">[4] TODO: citation needed. The reference previously listed here (Rosenzweig, J.A. et al., </w:t>
      </w:r>
      <w:r>
        <w:rPr>
          <w:i/>
        </w:rPr>
        <w:t>npj Microgravity</w:t>
      </w:r>
      <w:r>
        <w:t xml:space="preserve"> 1, 15009, 2015) matches no published record.</w:t>
      </w:r>
    </w:p>
    <w:p>
      <w:r>
        <w:t xml:space="preserve">[5] TODO: citation needed. The reference previously listed here (Voorhies, A.A. et al., </w:t>
      </w:r>
      <w:r>
        <w:rPr>
          <w:i/>
        </w:rPr>
        <w:t>PLoS ONE</w:t>
      </w:r>
      <w:r>
        <w:t xml:space="preserve"> 14, e0224893, 2019) matches no published record.</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improved data processing and web-based tools.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ectomycorrhizal fungi. </w:t>
      </w:r>
      <w:r>
        <w:rPr>
          <w:i/>
        </w:rPr>
        <w:t>New Phytol.</w:t>
      </w:r>
      <w:r>
        <w:t xml:space="preserve"> 166, 1063–1068 (2005).</w:t>
      </w:r>
    </w:p>
    <w:p>
      <w:r>
        <w:t xml:space="preserve">[12] Love, M.I. et al. Moderated estimation of fold change and dispersion for RNA-seq data with DESeq2. </w:t>
      </w:r>
      <w:r>
        <w:rPr>
          <w:i/>
        </w:rPr>
        <w:t>Genome Biol.</w:t>
      </w:r>
      <w:r>
        <w:t xml:space="preserve"> 15, 550 (2014).</w:t>
      </w:r>
    </w:p>
    <w:p>
      <w:r>
        <w:t xml:space="preserve">[13] Zhu, A., Ibrahim, J.G. &amp; Love, M.I. Heavy-tailed prior distributions for sequence count data: removing the noise and preserving large differences. </w:t>
      </w:r>
      <w:r>
        <w:rPr>
          <w:i/>
        </w:rPr>
        <w:t>Bioinformatics</w:t>
      </w:r>
      <w:r>
        <w:t xml:space="preserve"> 35, 2084–2092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(2026).</w:t>
      </w:r>
    </w:p>
    <w:p>
      <w:r>
        <w:t xml:space="preserve">[17] Fernandes, A.D. et al. Unifying the analysis of high-throughput sequencing datasets: characterizing RNA-seq, 16S rRNA gene sequencing and selective growth experiments by compositional data analysis. </w:t>
      </w:r>
      <w:r>
        <w:rPr>
          <w:i/>
        </w:rPr>
        <w:t>Microbiome</w:t>
      </w:r>
      <w:r>
        <w:t xml:space="preserve"> 2, 15 (2014).</w:t>
      </w:r>
    </w:p>
    <w:p>
      <w:r>
        <w:t xml:space="preserve">[18] Yu, G. et al. clusterProfiler: an R package for comparing biological themes among gene clusters. </w:t>
      </w:r>
      <w:r>
        <w:rPr>
          <w:i/>
        </w:rPr>
        <w:t>OMICS</w:t>
      </w:r>
      <w:r>
        <w:t xml:space="preserve"> 16, 284–287 (2012).</w:t>
      </w:r>
    </w:p>
    <w:p>
      <w:r>
        <w:t xml:space="preserve">[19] Louca, S., Parfrey, L.W. &amp; Doebeli, M. Decoupling function and taxonomy in the global ocean microbiome. </w:t>
      </w:r>
      <w:r>
        <w:rPr>
          <w:i/>
        </w:rPr>
        <w:t>Science</w:t>
      </w:r>
      <w:r>
        <w:t xml:space="preserve"> 353, 1272–1277 (2016).</w:t>
      </w:r>
    </w:p>
    <w:p>
      <w:r>
        <w:t xml:space="preserve">[20] Nguyen, N.H. et al. FUNGuild: an open annotation tool for parsing fungal community datasets by ecological guild. </w:t>
      </w:r>
      <w:r>
        <w:rPr>
          <w:i/>
        </w:rPr>
        <w:t>Fungal Ecol.</w:t>
      </w:r>
      <w:r>
        <w:t xml:space="preserve"> 20, 241–248 (2016).</w:t>
      </w:r>
    </w:p>
    <w:p>
      <w:r>
        <w:t xml:space="preserve">[21] Voorhies, A.A. et al. Study of the impact of long-duration space missions at the International Space Station on the astronaut microbiome. </w:t>
      </w:r>
      <w:r>
        <w:rPr>
          <w:i/>
        </w:rPr>
        <w:t>Sci. Rep.</w:t>
      </w:r>
      <w:r>
        <w:t xml:space="preserve"> 9, 9911 (2019).</w:t>
      </w:r>
    </w:p>
    <w:p>
      <w:r>
        <w:t xml:space="preserve">[22] Chaves, I. et al. The cryptochromes: blue light photoreceptors in plants and animals. </w:t>
      </w:r>
      <w:r>
        <w:rPr>
          <w:i/>
        </w:rPr>
        <w:t>Annu. Rev. Plant Biol.</w:t>
      </w:r>
      <w:r>
        <w:t xml:space="preserve"> 62, 335–364 (2011).</w:t>
      </w:r>
    </w:p>
    <w:p>
      <w:r>
        <w:t xml:space="preserve">[23] Dixit, A.R. et al. Stress and light spectral quality influence the transcriptome of a tomato crop on the International Space Station. </w:t>
      </w:r>
      <w:r>
        <w:rPr>
          <w:i/>
        </w:rPr>
        <w:t>BMC Plant Biol.</w:t>
      </w:r>
      <w:r>
        <w:t xml:space="preserve"> 26, 764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