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Spaceflight alters the tomato phyllosphere and rhizosphere microbiome in a light-dependent manner: a multi-omics integration of ISS VEG-05</w:t>
      </w:r>
    </w:p>
    <w:p>
      <w:pPr>
        <w:pStyle w:val="Heading1"/>
      </w:pPr>
      <w:r>
        <w:t>Manuscript draft for npj Microgravity</w:t>
      </w:r>
    </w:p>
    <w:p>
      <w:pPr>
        <w:pStyle w:val="Heading1"/>
      </w:pPr>
      <w:r>
        <w:t>Abstract</w:t>
      </w:r>
    </w:p>
    <w:p>
      <w:r>
        <w:t>Spaceflight imposes unique stressors on plant-microbe interactions, but the coordinated responses of host transcriptomes and associated microbiomes remain poorly characterized. We analyzed tomato (</w:t>
      </w:r>
      <w:r>
        <w:rPr>
          <w:i/>
        </w:rPr>
        <w:t>Solanum lycopersicum</w:t>
      </w:r>
      <w:r>
        <w:t xml:space="preserve"> cv. Red Robin) grown aboard the International Space Station (ISS) as part of the VEG-05 experiment, integrating 16S rRNA and ITS amplicon sequencing (OSD-766) with host transcriptomics (OSD-767) across two tissues (leaf, adventitious root) and two light treatments (red-rich vs. blue-rich LED). DADA2 processing yielded 348 bacterial and 78 fungal ASVs from 142 and 141 samples respectively. Spaceflight accounted for 28% of the variation in leaf bacterial community composition (PERMANOVA, p=0.001), and flight samples had higher bacterial alpha diversity (Observed ASVs: Flight 17.8–25.8 vs. Ground 10.0–15.2). The spaceflight transcriptional response was strongly light-dependent: under blue light, 4,716 differentially expressed genes (DEGs) were detected in leaves versus only 523 under red light. WGCNA identified a 169-gene adventitious root module correlated with fungal dysbiosis (r=−0.85, padj=0.009) but not with flight status (r=−0.38, padj=0.32), representing a microbe-driven host transcriptional signature independent of the direct spaceflight stimulus. MOFA+ integration of 18 leaf samples across three omics layers found a dominant flight-associated factor (44% of transcriptome variance). The most abundant FAPROTAX-predicted bacterial functions were (aerobic) chemoheterotrophy, ureolysis, nitrogen fixation and methylotrophy. These findings demonstrate that spaceflight restructures plant-associated microbiomes in a tissue- and light-specific manner, with implications for crop production systems in long-duration space missions.</w:t>
      </w:r>
    </w:p>
    <w:p>
      <w:pPr>
        <w:pStyle w:val="Heading1"/>
      </w:pPr>
      <w:r>
        <w:t>Introduction</w:t>
      </w:r>
    </w:p>
    <w:p>
      <w:r>
        <w:t>Plant-associated microbiomes play critical roles in nutrient acquisition, pathogen protection, and stress tolerance [1]. In the context of spaceflight, these interactions take on added significance: crops grown in bioregenerative life support systems must maintain productive plant-microbe partnerships under conditions of microgravity, altered fluid dynamics, elevated radiation, and controlled-environment lighting [2]. The VEG-05 experiment aboard the International Space Station (ISS) provided a unique opportunity to study these interactions in tomato (</w:t>
      </w:r>
      <w:r>
        <w:rPr>
          <w:i/>
        </w:rPr>
        <w:t>Solanum lycopersicum</w:t>
      </w:r>
      <w:r>
        <w:t>), a candidate crop for long-duration missions [3, 23].</w:t>
      </w:r>
    </w:p>
    <w:p>
      <w:r>
        <w:t>Spaceflight has been shown to alter microbial community composition, gene expression, and virulence in pure culture systems [4,5]. However, the coordinated response of host plants and their associated microbiomes to the spaceflight environment remains largely unexplored. Multi-omics integration approaches such as MOFA+ (Multi-Omics Factor Analysis) [6] and WGCNA (Weighted Gene Co-expression Network Analysis) [7] offer powerful frameworks for identifying coordinated variation across biological layers, but have not been applied to spaceflight plant-microbiome studies.</w:t>
      </w:r>
    </w:p>
    <w:p>
      <w:r>
        <w:t>Here we present an integrated analysis of the VEG-05 tomato microbiome (16S rRNA and ITS amplicon sequencing, OSD-766) and host transcriptome (RNA-seq, OSD-767) (Fig. 1). We characterize community health through diversity metrics and a dysbiosis index, identify co-expression modules associated with microbial changes, and infer the directionality of host-microbe interactions using a framework that distinguishes host-driven, microbe-driven, and co-regulated responses.</w:t>
      </w:r>
    </w:p>
    <w:p>
      <w:pPr>
        <w:jc w:val="center"/>
      </w:pPr>
      <w:r>
        <w:drawing>
          <wp:inline xmlns:a="http://schemas.openxmlformats.org/drawingml/2006/main" xmlns:pic="http://schemas.openxmlformats.org/drawingml/2006/picture">
            <wp:extent cx="5760720" cy="2978317"/>
            <wp:docPr id="1" name="Picture 1"/>
            <wp:cNvGraphicFramePr>
              <a:graphicFrameLocks noChangeAspect="1"/>
            </wp:cNvGraphicFramePr>
            <a:graphic>
              <a:graphicData uri="http://schemas.openxmlformats.org/drawingml/2006/picture">
                <pic:pic>
                  <pic:nvPicPr>
                    <pic:cNvPr id="0" name="fig1_study_design.png"/>
                    <pic:cNvPicPr/>
                  </pic:nvPicPr>
                  <pic:blipFill>
                    <a:blip r:embed="rId9"/>
                    <a:stretch>
                      <a:fillRect/>
                    </a:stretch>
                  </pic:blipFill>
                  <pic:spPr>
                    <a:xfrm>
                      <a:off x="0" y="0"/>
                      <a:ext cx="5760720" cy="2978317"/>
                    </a:xfrm>
                    <a:prstGeom prst="rect"/>
                  </pic:spPr>
                </pic:pic>
              </a:graphicData>
            </a:graphic>
          </wp:inline>
        </w:drawing>
      </w:r>
    </w:p>
    <w:p>
      <w:r>
        <w:rPr>
          <w:b/>
        </w:rPr>
        <w:t>*Figure 1. Study design and analysis overview.</w:t>
      </w:r>
      <w:r>
        <w:t xml:space="preserve"> The ISS VEG-05 experiment (tomato cv. Red Robin; Flight vs Ground; red-rich vs blue-rich LED; leaf and adventitious root) feeds two data streams — host transcriptome (OSD-767) and microbiome (OSD-766) — that are combined through DESeq2, WGCNA, a dysbiosis index, MOFA+, and module–taxon networks.*</w:t>
      </w:r>
    </w:p>
    <w:p>
      <w:pPr>
        <w:pStyle w:val="Heading1"/>
      </w:pPr>
      <w:r>
        <w:t>Methods</w:t>
      </w:r>
    </w:p>
    <w:p>
      <w:pPr>
        <w:pStyle w:val="Heading2"/>
      </w:pPr>
      <w:r>
        <w:t>Data acquisition and metadata</w:t>
      </w:r>
    </w:p>
    <w:p>
      <w:r>
        <w:t>Raw sequencing data and metadata were obtained from NASA's Open Science Data Repository (OSDR): OSD-766 (microbiome amplicon sequencing [3]) and OSD-767 (host RNA-seq [23]). The VEG-05 experiment grew tomato cv. Red Robin aboard the ISS under red-rich (90% red:10% blue) or blue-rich (50% red:50% blue) LED lighting, with ground controls at Kennedy Space Center. Metadata were parsed from ISA-Tab format, and a crosswalk table linking microbiome and RNA-seq samples by plant ID, flight status, light treatment, and tissue was constructed. OSD-766 labels the adventitious-root samples of ground plants SN02, SN04 and SN05 blue-rich, whereas it labels those plants' leaf samples red-rich and OSD-767 names their root RNA-seq samples Red; these three samples were treated as red-rich.</w:t>
      </w:r>
    </w:p>
    <w:p>
      <w:pPr>
        <w:pStyle w:val="Heading2"/>
      </w:pPr>
      <w:r>
        <w:t>Microbiome amplicon processing</w:t>
      </w:r>
    </w:p>
    <w:p>
      <w:r>
        <w:t>16S rRNA (V4 region, 515F/806R primers) and ITS2 (ITS3F/ITS4 primers) reads were processed using DADA2 v1.40.0 [8] in R. For 16S, primers were already removed; reads were truncated at 240 bp (R1) and 160 bp (R2) with maxEE=2, length-filtered to 200–260 bp, and pooled for denoising. Taxonomy was assigned against SILVA 138.1 [9]. Chloroplast and mitochondrial ASVs were removed prior to community analysis. For ITS, primers were removed with cutadapt [10]; R2 reads were truncated at 180 bp due to quality degradation; taxonomy was assigned against the UNITE v7.2 QIIME release (1 December 2017, 99% clusters) [11]. Taxonomy was assigned with a fixed random seed and DADA2's default 50% bootstrap threshold.</w:t>
      </w:r>
    </w:p>
    <w:p>
      <w:pPr>
        <w:pStyle w:val="Heading2"/>
      </w:pPr>
      <w:r>
        <w:t>Differential expression analysis</w:t>
      </w:r>
    </w:p>
    <w:p>
      <w:r>
        <w:t>RNA-seq count matrices were analyzed with DESeq2 [12] separately for leaf (21 samples) and adventitious root (15 samples; Table S1). The design model included flight status, light treatment, and their interaction. Each main effect is the effect of one factor averaged over both levels of the other. Log-fold changes were shrunk with ashr [14] for the main effects and the within-light contrasts, and with apeglm [13] for the interaction term. DEGs were defined as padj &lt; 0.05 and |log2FC| ≥ 1.</w:t>
      </w:r>
    </w:p>
    <w:p>
      <w:pPr>
        <w:pStyle w:val="Heading2"/>
      </w:pPr>
      <w:r>
        <w:t>Community health metrics</w:t>
      </w:r>
    </w:p>
    <w:p>
      <w:r>
        <w:t>Alpha diversity (Observed ASVs, Shannon index) was computed on unfiltered data using phyloseq [15]. Beta diversity was assessed via Bray-Curtis dissimilarity and PERMANOVA (999 permutations; terms added sequentially: flight, light, flight × light) using vegan [16]. A dysbiosis index was calculated for each flight sample as its mean Bray-Curtis distance to all ground samples of the same compartment (both light treatments), divided by the mean pairwise distance among those ground samples. Differential abundance testing used ALDEx2 [17] with 128 Monte Carlo instances, requiring both a Benjamini–Hochberg-adjusted Welch p &lt; 0.05 and |effect size| &gt; 1; positive effects are higher in flight.</w:t>
      </w:r>
    </w:p>
    <w:p>
      <w:pPr>
        <w:pStyle w:val="Heading2"/>
      </w:pPr>
      <w:r>
        <w:t>WGCNA co-expression networks</w:t>
      </w:r>
    </w:p>
    <w:p>
      <w:r>
        <w:t>WGCNA [7] was applied to variance-stabilized transcriptome data for each tissue separately. Soft-thresholding powers were selected to maximize scale-free fit (Leaf: power=20, R²=0.72; Adv-Root: power=18, R²=0.69). Module eigengenes were correlated (Pearson) with flight status, light treatment, and the 16S/ITS dysbiosis indices of the same plant and tissue. A ground sample's index is its mean Bray-Curtis distance to the other ground samples of its compartment, over the same denominator, so ground indices average 1. Dysbiosis indices exist for 21 (16S) and 18 (ITS) of the 21 leaf samples and for 15 and 12 of the 15 adventitious-root samples; each correlation's p-value uses that number of samples. Hub genes were the 10 genes with the highest module membership (kME) in each module (all kME ≥ 0.86).</w:t>
      </w:r>
    </w:p>
    <w:p>
      <w:pPr>
        <w:pStyle w:val="Heading2"/>
      </w:pPr>
      <w:r>
        <w:t>MOFA+ multi-omics integration</w:t>
      </w:r>
    </w:p>
    <w:p>
      <w:r>
        <w:t>MOFA2 [6] was trained on the 18 leaf samples with RNA-seq, 16S and ITS data from the same leaf, in three views: transcriptome (2,000 most variable genes), 16S (the 101 bacterial ASVs detected in those samples), and ITS (40 fungal ASVs). The model was trained with 5 factors and default priors. Factor-trait correlations were computed using Spearman's rank correlation with BH correction.</w:t>
      </w:r>
    </w:p>
    <w:p>
      <w:pPr>
        <w:pStyle w:val="Heading2"/>
      </w:pPr>
      <w:r>
        <w:t>Correlation networks and directionality inference</w:t>
      </w:r>
    </w:p>
    <w:p>
      <w:r>
        <w:t>Bipartite module-taxon networks were constructed by Spearman correlation between WGCNA module eigengenes and ASV relative abundances (prevalence filter &gt;20%, BH correction). GO enrichment of WGCNA modules was performed using clusterProfiler's enricher function [18] with tomato GO annotations from Ensembl Plants (18,479 annotated genes). Directionality was classified as: host-driven (correlated with flight/light but not dysbiosis), microbe-driven (correlated with dysbiosis but not flight/light), or co-regulated (correlated with both).</w:t>
      </w:r>
    </w:p>
    <w:p>
      <w:pPr>
        <w:pStyle w:val="Heading2"/>
      </w:pPr>
      <w:r>
        <w:t>Functional prediction</w:t>
      </w:r>
    </w:p>
    <w:p>
      <w:r>
        <w:t>Bacterial functional profiles were predicted for the 348 bacterial ASVs using FAPROTAX 1.2.12 [19] and its collapse_table.py (whole-word taxon matching, with hyphens treated as word separators so that each genus in SILVA's merged genus names is matched). Fungal ecological guilds were assigned using genus-level lookup tables based on FUNGuild [20] categories.</w:t>
      </w:r>
    </w:p>
    <w:p>
      <w:pPr>
        <w:pStyle w:val="Heading2"/>
      </w:pPr>
      <w:r>
        <w:t>Data and code availability</w:t>
      </w:r>
    </w:p>
    <w:p>
      <w:r>
        <w:t>All analysis code is available at https://github.com/dr-richard-barker/veg05-integrated-omics. Raw data are available from NASA OSDR (OSD-766, OSD-767).</w:t>
      </w:r>
    </w:p>
    <w:p>
      <w:pPr>
        <w:pStyle w:val="Heading1"/>
      </w:pPr>
      <w:r>
        <w:t>Results</w:t>
      </w:r>
    </w:p>
    <w:p>
      <w:pPr>
        <w:pStyle w:val="Heading2"/>
      </w:pPr>
      <w:r>
        <w:t>Spaceflight reshapes leaf bacterial communities</w:t>
      </w:r>
    </w:p>
    <w:p>
      <w:r>
        <w:t>DADA2 processing of 16S rRNA reads yielded 544 ASVs from 142 samples (3,558,814 non-chimeric reads, 89.8% retention). After removing chloroplast (38.9% of reads) and mitochondrial (21.5%) sequences, 348 bacterial ASVs remained. ITS processing yielded 78 fungal ASVs (156,102 reads, 15.4% of primer-trimmed reads); 121 of the 141 samples retained reads.</w:t>
      </w:r>
    </w:p>
    <w:p>
      <w:r>
        <w:t>Spaceflight changed bacterial community composition in leaves (PERMANOVA flight term: R²=0.28, F=8.24, p=0.001, n=21) and adventitious roots (R²=0.29, F=5.90, p=0.001, n=15; Table S4). Light quality had no significant main effect in either tissue, but the flight × light interaction did (leaf R²=0.11, p=0.035; root R²=0.11, p=0.027). In leaves, bacterial alpha diversity was higher in flight samples: Observed ASVs ranged from 17.8–25.8 in flight versus 10.0–15.2 in ground controls (Fig. 2A; Table S3). The Shannon index showed a similar pattern, with flight blue-light samples reaching 2.18 versus 0.80 in ground blue-light controls.</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fig2a_alpha_diversity_16S.png"/>
                    <pic:cNvPicPr/>
                  </pic:nvPicPr>
                  <pic:blipFill>
                    <a:blip r:embed="rId10"/>
                    <a:stretch>
                      <a:fillRect/>
                    </a:stretch>
                  </pic:blipFill>
                  <pic:spPr>
                    <a:xfrm>
                      <a:off x="0" y="0"/>
                      <a:ext cx="5760720" cy="3600450"/>
                    </a:xfrm>
                    <a:prstGeom prst="rect"/>
                  </pic:spPr>
                </pic:pic>
              </a:graphicData>
            </a:graphic>
          </wp:inline>
        </w:drawing>
      </w:r>
    </w:p>
    <w:p>
      <w:r>
        <w:rPr>
          <w:b/>
        </w:rPr>
        <w:t>*Figure 2A.</w:t>
      </w:r>
      <w:r>
        <w:t xml:space="preserve"> Bacterial (16S) alpha diversity (Observed ASVs) by flight status and light treatment; flight leaves show higher diversity.*</w:t>
      </w:r>
    </w:p>
    <w:p>
      <w:r>
        <w:t>The dysbiosis index quantified community displacement relative to ground controls. Leaf bacterial communities showed a 2.06-fold increase in dysbiosis during flight (2.06 ± 0.99 vs. 1.00 ± 0.47, Fig. 2B). Fungal communities showed even greater displacement (ITS leaf: 3.69 ± 2.78 vs. 1.00 ± 0.22), and spaceflight changed leaf fungal composition (flight term R²=0.36, F=9.35, p=0.007, n=18). Adventitious root fungal community composition differed by flight (R²=0.40, F=13.1, p=0.001), light (R²=0.19, p=0.005) and their interaction (R²=0.16, p=0.006; n=12).</w:t>
      </w:r>
    </w:p>
    <w:p>
      <w:pPr>
        <w:jc w:val="center"/>
      </w:pPr>
      <w:r>
        <w:drawing>
          <wp:inline xmlns:a="http://schemas.openxmlformats.org/drawingml/2006/main" xmlns:pic="http://schemas.openxmlformats.org/drawingml/2006/picture">
            <wp:extent cx="5760720" cy="4800600"/>
            <wp:docPr id="3" name="Picture 3"/>
            <wp:cNvGraphicFramePr>
              <a:graphicFrameLocks noChangeAspect="1"/>
            </wp:cNvGraphicFramePr>
            <a:graphic>
              <a:graphicData uri="http://schemas.openxmlformats.org/drawingml/2006/picture">
                <pic:pic>
                  <pic:nvPicPr>
                    <pic:cNvPr id="0" name="fig2b_dysbiosis_16S.png"/>
                    <pic:cNvPicPr/>
                  </pic:nvPicPr>
                  <pic:blipFill>
                    <a:blip r:embed="rId11"/>
                    <a:stretch>
                      <a:fillRect/>
                    </a:stretch>
                  </pic:blipFill>
                  <pic:spPr>
                    <a:xfrm>
                      <a:off x="0" y="0"/>
                      <a:ext cx="5760720" cy="4800600"/>
                    </a:xfrm>
                    <a:prstGeom prst="rect"/>
                  </pic:spPr>
                </pic:pic>
              </a:graphicData>
            </a:graphic>
          </wp:inline>
        </w:drawing>
      </w:r>
    </w:p>
    <w:p>
      <w:r>
        <w:rPr>
          <w:b/>
        </w:rPr>
        <w:t>*Figure 2B (16S).</w:t>
      </w:r>
      <w:r>
        <w:t xml:space="preserve"> Bacterial dysbiosis index (mean Bray-Curtis distance to ground samples, relative to ground-ground distance); elevated under flight.*</w:t>
      </w:r>
    </w:p>
    <w:p>
      <w:pPr>
        <w:jc w:val="center"/>
      </w:pPr>
      <w:r>
        <w:drawing>
          <wp:inline xmlns:a="http://schemas.openxmlformats.org/drawingml/2006/main" xmlns:pic="http://schemas.openxmlformats.org/drawingml/2006/picture">
            <wp:extent cx="5760720" cy="4800600"/>
            <wp:docPr id="4" name="Picture 4"/>
            <wp:cNvGraphicFramePr>
              <a:graphicFrameLocks noChangeAspect="1"/>
            </wp:cNvGraphicFramePr>
            <a:graphic>
              <a:graphicData uri="http://schemas.openxmlformats.org/drawingml/2006/picture">
                <pic:pic>
                  <pic:nvPicPr>
                    <pic:cNvPr id="0" name="fig2b_dysbiosis_ITS.png"/>
                    <pic:cNvPicPr/>
                  </pic:nvPicPr>
                  <pic:blipFill>
                    <a:blip r:embed="rId12"/>
                    <a:stretch>
                      <a:fillRect/>
                    </a:stretch>
                  </pic:blipFill>
                  <pic:spPr>
                    <a:xfrm>
                      <a:off x="0" y="0"/>
                      <a:ext cx="5760720" cy="4800600"/>
                    </a:xfrm>
                    <a:prstGeom prst="rect"/>
                  </pic:spPr>
                </pic:pic>
              </a:graphicData>
            </a:graphic>
          </wp:inline>
        </w:drawing>
      </w:r>
    </w:p>
    <w:p>
      <w:r>
        <w:rPr>
          <w:b/>
        </w:rPr>
        <w:t>*Figure 2B (ITS).</w:t>
      </w:r>
      <w:r>
        <w:t xml:space="preserve"> Fungal dysbiosis index; the largest displacement is in flight leaves.*</w:t>
      </w:r>
    </w:p>
    <w:p>
      <w:r>
        <w:t xml:space="preserve">ALDEx2 identified few taxa with significant differential abundance under the conservative dual criterion (BH-adjusted p &lt; 0.05 and |effect| &gt; 1), all of them more abundant in flight. In leaf 16S, an Erwiniaceae ASV (ASV024; assigned to </w:t>
      </w:r>
      <w:r>
        <w:rPr>
          <w:i/>
        </w:rPr>
        <w:t>Pantoea</w:t>
      </w:r>
      <w:r>
        <w:t xml:space="preserve"> with 49% bootstrap support, just below the 50% threshold) was enriched in flight (effect=+1.10). In ITS, </w:t>
      </w:r>
      <w:r>
        <w:rPr>
          <w:i/>
        </w:rPr>
        <w:t>Penicillium citrinum</w:t>
      </w:r>
      <w:r>
        <w:t xml:space="preserve"> (ASV003) was enriched in flight leaves (effect=+1.90). In adventitious roots, three bacterial taxa (16S ASV004, </w:t>
      </w:r>
      <w:r>
        <w:rPr>
          <w:i/>
        </w:rPr>
        <w:t>Burkholderia-Caballeronia-Paraburkholderia</w:t>
      </w:r>
      <w:r>
        <w:t xml:space="preserve">, +1.58; ASV021, Rhizobiaceae, +3.25; ASV022, </w:t>
      </w:r>
      <w:r>
        <w:rPr>
          <w:i/>
        </w:rPr>
        <w:t>Dyadobacter</w:t>
      </w:r>
      <w:r>
        <w:t xml:space="preserve">, +2.22) were enriched in flight. A </w:t>
      </w:r>
      <w:r>
        <w:rPr>
          <w:i/>
        </w:rPr>
        <w:t>Fusarium</w:t>
      </w:r>
      <w:r>
        <w:t xml:space="preserve"> ASV (ITS ASV006) had a similar effect in roots (+1.91) but did not pass the threshold (BH-adjusted p=0.053).</w:t>
      </w:r>
    </w:p>
    <w:p>
      <w:pPr>
        <w:pStyle w:val="Heading2"/>
      </w:pPr>
      <w:r>
        <w:t>Spaceflight transcriptional response is light-dependent</w:t>
      </w:r>
    </w:p>
    <w:p>
      <w:r>
        <w:t>DESeq2 analysis revealed a pronounced interaction between spaceflight and light quality (Table S2). In leaves, the flight main effect (the flight effect averaged over the two light treatments) gave 2,683 DEGs (1,368 up, 1,315 down; Fig. 3B). Separate models within each light treatment gave 4,716 DEGs under blue-rich light and 523 under red-rich light (Fig. 3). The formal interaction term identified 3,189 DEGs, confirming that the transcriptional response to spaceflight is strongly modulated by light quality.</w:t>
      </w:r>
    </w:p>
    <w:p>
      <w:r>
        <w:t>In adventitious roots, the flight main effect was predominantly upregulation (1,501 DEGs: 1,245 up, 256 down, 83% upregulated; Fig. 3C), suggesting activation of stress response pathways. The interaction was minimal (6 DEGs after shrinkage), indicating that the root transcriptional response to spaceflight is less light-dependent than the leaf response.</w:t>
      </w:r>
    </w:p>
    <w:p>
      <w:pPr>
        <w:jc w:val="center"/>
      </w:pPr>
      <w:r>
        <w:drawing>
          <wp:inline xmlns:a="http://schemas.openxmlformats.org/drawingml/2006/main" xmlns:pic="http://schemas.openxmlformats.org/drawingml/2006/picture">
            <wp:extent cx="5760720" cy="3456432"/>
            <wp:docPr id="5" name="Picture 5"/>
            <wp:cNvGraphicFramePr>
              <a:graphicFrameLocks noChangeAspect="1"/>
            </wp:cNvGraphicFramePr>
            <a:graphic>
              <a:graphicData uri="http://schemas.openxmlformats.org/drawingml/2006/picture">
                <pic:pic>
                  <pic:nvPicPr>
                    <pic:cNvPr id="0" name="fig3_deg_summary.png"/>
                    <pic:cNvPicPr/>
                  </pic:nvPicPr>
                  <pic:blipFill>
                    <a:blip r:embed="rId13"/>
                    <a:stretch>
                      <a:fillRect/>
                    </a:stretch>
                  </pic:blipFill>
                  <pic:spPr>
                    <a:xfrm>
                      <a:off x="0" y="0"/>
                      <a:ext cx="5760720" cy="3456432"/>
                    </a:xfrm>
                    <a:prstGeom prst="rect"/>
                  </pic:spPr>
                </pic:pic>
              </a:graphicData>
            </a:graphic>
          </wp:inline>
        </w:drawing>
      </w:r>
    </w:p>
    <w:p>
      <w:r>
        <w:rPr>
          <w:b/>
        </w:rPr>
        <w:t>*Figure 3.</w:t>
      </w:r>
      <w:r>
        <w:t xml:space="preserve"> DEG summary across tissue × contrast; the leaf blue-light flight response (4,716 DEGs) dwarfs red (523).*</w:t>
      </w:r>
    </w:p>
    <w:p>
      <w:pPr>
        <w:jc w:val="center"/>
      </w:pPr>
      <w:r>
        <w:drawing>
          <wp:inline xmlns:a="http://schemas.openxmlformats.org/drawingml/2006/main" xmlns:pic="http://schemas.openxmlformats.org/drawingml/2006/picture">
            <wp:extent cx="5760720" cy="4937760"/>
            <wp:docPr id="6" name="Picture 6"/>
            <wp:cNvGraphicFramePr>
              <a:graphicFrameLocks noChangeAspect="1"/>
            </wp:cNvGraphicFramePr>
            <a:graphic>
              <a:graphicData uri="http://schemas.openxmlformats.org/drawingml/2006/picture">
                <pic:pic>
                  <pic:nvPicPr>
                    <pic:cNvPr id="0" name="fig3b_volcano_leaf_flight.png"/>
                    <pic:cNvPicPr/>
                  </pic:nvPicPr>
                  <pic:blipFill>
                    <a:blip r:embed="rId14"/>
                    <a:stretch>
                      <a:fillRect/>
                    </a:stretch>
                  </pic:blipFill>
                  <pic:spPr>
                    <a:xfrm>
                      <a:off x="0" y="0"/>
                      <a:ext cx="5760720" cy="4937760"/>
                    </a:xfrm>
                    <a:prstGeom prst="rect"/>
                  </pic:spPr>
                </pic:pic>
              </a:graphicData>
            </a:graphic>
          </wp:inline>
        </w:drawing>
      </w:r>
    </w:p>
    <w:p>
      <w:r>
        <w:rPr>
          <w:b/>
        </w:rPr>
        <w:t>*Figure 3B.</w:t>
      </w:r>
      <w:r>
        <w:t xml:space="preserve"> Leaf Flight-vs-Ground volcano (flight main effect of the flight × light model: the flight effect averaged over the two light treatments).*</w:t>
      </w:r>
    </w:p>
    <w:p>
      <w:pPr>
        <w:jc w:val="center"/>
      </w:pPr>
      <w:r>
        <w:drawing>
          <wp:inline xmlns:a="http://schemas.openxmlformats.org/drawingml/2006/main" xmlns:pic="http://schemas.openxmlformats.org/drawingml/2006/picture">
            <wp:extent cx="5760720" cy="4937760"/>
            <wp:docPr id="7" name="Picture 7"/>
            <wp:cNvGraphicFramePr>
              <a:graphicFrameLocks noChangeAspect="1"/>
            </wp:cNvGraphicFramePr>
            <a:graphic>
              <a:graphicData uri="http://schemas.openxmlformats.org/drawingml/2006/picture">
                <pic:pic>
                  <pic:nvPicPr>
                    <pic:cNvPr id="0" name="fig3c_volcano_advroot_flight.png"/>
                    <pic:cNvPicPr/>
                  </pic:nvPicPr>
                  <pic:blipFill>
                    <a:blip r:embed="rId15"/>
                    <a:stretch>
                      <a:fillRect/>
                    </a:stretch>
                  </pic:blipFill>
                  <pic:spPr>
                    <a:xfrm>
                      <a:off x="0" y="0"/>
                      <a:ext cx="5760720" cy="4937760"/>
                    </a:xfrm>
                    <a:prstGeom prst="rect"/>
                  </pic:spPr>
                </pic:pic>
              </a:graphicData>
            </a:graphic>
          </wp:inline>
        </w:drawing>
      </w:r>
    </w:p>
    <w:p>
      <w:r>
        <w:rPr>
          <w:b/>
        </w:rPr>
        <w:t>*Figure 3C.</w:t>
      </w:r>
      <w:r>
        <w:t xml:space="preserve"> Adventitious-root Flight-vs-Ground volcano (flight main effect, averaged over the two light treatments; predominantly upregulation).*</w:t>
      </w:r>
    </w:p>
    <w:p>
      <w:pPr>
        <w:pStyle w:val="Heading2"/>
      </w:pPr>
      <w:r>
        <w:t>WGCNA identifies a microbe-driven host transcriptional module</w:t>
      </w:r>
    </w:p>
    <w:p>
      <w:r>
        <w:t>WGCNA of the leaf transcriptome identified 12 modules plus unassigned genes (power=20; Fig. 4), with the turquoise module (n=2,037 genes) showing the strongest flight correlation (r=+0.73, padj=0.001) and the blue module (n=1,012) showing the strongest anti-correlation (r=−0.79, padj=3×10⁻⁴). Four leaf modules were classified as co-regulated (correlated with both flight and dysbiosis), reflecting the intertwined nature of environmental and microbial signals (Table S5).</w:t>
      </w:r>
    </w:p>
    <w:p>
      <w:r>
        <w:t>In adventitious roots, WGCNA identified 16 modules plus unassigned genes (power=18). The key finding was the black module (n=169 genes), which was strongly correlated with ITS dysbiosis (r=−0.85, padj=0.009, 12 plants) but not with flight status (r=−0.38, padj=0.32). The correlation holds within flight plants (r=−0.87, n=6) and within ground plants (r=−0.75, n=6), although the ITS dysbiosis index is itself higher in flight (r=0.71 with flight status). The green module (n=287; ITS r=−0.72, padj=0.044) was also classified as microbe-driven, and the turquoise module as co-regulated (flight r=+0.72; ITS r=+0.74, padj=0.044). The black module was classified as microbe-driven, representing a host transcriptional response to fungal community changes that is independent of the direct spaceflight stimulus. GO enrichment of the black module itself was limited — its only significantly enriched term was the cellular component "nucleus" — so it is defined here by its microbe-driven trait association rather than by a specific enriched process; the adventitious-root oxidative-stress program was instead concentrated in the larger turquoise module (see below).</w:t>
      </w:r>
    </w:p>
    <w:p>
      <w:r>
        <w:t>GO enrichment analysis of all modules revealed biologically coherent functional signatures (full results in Table S10). In leaves, the black module was enriched for photosynthesis and photosystem genes (p.adj=4.4×10⁻²⁵), while the red module was enriched for RNA binding and protein binding. In adventitious roots, the turquoise module (the largest, n=1,768) was enriched for oxidative stress response (peroxidase activity, p.adj=4.2×10⁻⁹; hydrogen peroxide catabolism, p.adj=1.1×10⁻⁸; glutathione transferase activity, p.adj=3.9×10⁻⁷), consistent with spaceflight-induced oxidative stress.</w:t>
      </w:r>
    </w:p>
    <w:p>
      <w:pPr>
        <w:jc w:val="center"/>
      </w:pPr>
      <w:r>
        <w:drawing>
          <wp:inline xmlns:a="http://schemas.openxmlformats.org/drawingml/2006/main" xmlns:pic="http://schemas.openxmlformats.org/drawingml/2006/picture">
            <wp:extent cx="5760720" cy="6882378"/>
            <wp:docPr id="8" name="Picture 8"/>
            <wp:cNvGraphicFramePr>
              <a:graphicFrameLocks noChangeAspect="1"/>
            </wp:cNvGraphicFramePr>
            <a:graphic>
              <a:graphicData uri="http://schemas.openxmlformats.org/drawingml/2006/picture">
                <pic:pic>
                  <pic:nvPicPr>
                    <pic:cNvPr id="0" name="fig4_module_traits_Leaf.png"/>
                    <pic:cNvPicPr/>
                  </pic:nvPicPr>
                  <pic:blipFill>
                    <a:blip r:embed="rId16"/>
                    <a:stretch>
                      <a:fillRect/>
                    </a:stretch>
                  </pic:blipFill>
                  <pic:spPr>
                    <a:xfrm>
                      <a:off x="0" y="0"/>
                      <a:ext cx="5760720" cy="6882378"/>
                    </a:xfrm>
                    <a:prstGeom prst="rect"/>
                  </pic:spPr>
                </pic:pic>
              </a:graphicData>
            </a:graphic>
          </wp:inline>
        </w:drawing>
      </w:r>
    </w:p>
    <w:p>
      <w:r>
        <w:rPr>
          <w:b/>
        </w:rPr>
        <w:t>*Figure 4 (Leaf).</w:t>
      </w:r>
      <w:r>
        <w:t xml:space="preserve"> WGCNA module–trait correlations (flight, light, 16S/ITS dysbiosis). Each module is labelled with its dominant GO biology (Table 1); cells show Pearson r with significance stars.*</w:t>
      </w:r>
    </w:p>
    <w:p>
      <w:pPr>
        <w:jc w:val="center"/>
      </w:pPr>
      <w:r>
        <w:drawing>
          <wp:inline xmlns:a="http://schemas.openxmlformats.org/drawingml/2006/main" xmlns:pic="http://schemas.openxmlformats.org/drawingml/2006/picture">
            <wp:extent cx="5016969" cy="7498079"/>
            <wp:docPr id="9" name="Picture 9"/>
            <wp:cNvGraphicFramePr>
              <a:graphicFrameLocks noChangeAspect="1"/>
            </wp:cNvGraphicFramePr>
            <a:graphic>
              <a:graphicData uri="http://schemas.openxmlformats.org/drawingml/2006/picture">
                <pic:pic>
                  <pic:nvPicPr>
                    <pic:cNvPr id="0" name="fig4_module_traits_AdvRoot.png"/>
                    <pic:cNvPicPr/>
                  </pic:nvPicPr>
                  <pic:blipFill>
                    <a:blip r:embed="rId17"/>
                    <a:stretch>
                      <a:fillRect/>
                    </a:stretch>
                  </pic:blipFill>
                  <pic:spPr>
                    <a:xfrm>
                      <a:off x="0" y="0"/>
                      <a:ext cx="5016969" cy="7498079"/>
                    </a:xfrm>
                    <a:prstGeom prst="rect"/>
                  </pic:spPr>
                </pic:pic>
              </a:graphicData>
            </a:graphic>
          </wp:inline>
        </w:drawing>
      </w:r>
    </w:p>
    <w:p>
      <w:r>
        <w:rPr>
          <w:b/>
        </w:rPr>
        <w:t>*Figure 4 (Adv-Root).</w:t>
      </w:r>
      <w:r>
        <w:t xml:space="preserve"> Module–trait correlations with GO-biology labels (Table 1). The black (nucleus) module tracks ITS dysbiosis (r=−0.85) but not flight; the turquoise (oxidative-stress/peroxidase) module is the largest flight-correlated module.*</w:t>
      </w:r>
    </w:p>
    <w:p>
      <w:pPr>
        <w:pStyle w:val="Heading2"/>
      </w:pPr>
      <w:r>
        <w:t>Module functional annotation (GO)</w:t>
      </w:r>
    </w:p>
    <w:p>
      <w:r>
        <w:t>To make the WGCNA module colours interpretable, each module was annotated with its dominant biology from per-module Gene Ontology enrichment (Table 1). These human-readable labels are shown alongside the module colours on the axes of Figs 4 and 6. Modules with no significant enrichment are marked accordingly.</w:t>
      </w:r>
    </w:p>
    <w:p>
      <w:r>
        <w:rPr>
          <w:b/>
        </w:rPr>
        <w:t>Table 1. GO-based functional annotation of WGCNA modules.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6"/>
              </w:rPr>
              <w:t>Tissue</w:t>
            </w:r>
          </w:p>
        </w:tc>
        <w:tc>
          <w:tcPr>
            <w:tcW w:type="dxa" w:w="2340"/>
          </w:tcPr>
          <w:p>
            <w:r/>
            <w:r>
              <w:rPr>
                <w:b/>
                <w:sz w:val="16"/>
              </w:rPr>
              <w:t>Module</w:t>
            </w:r>
          </w:p>
        </w:tc>
        <w:tc>
          <w:tcPr>
            <w:tcW w:type="dxa" w:w="2340"/>
          </w:tcPr>
          <w:p>
            <w:r/>
            <w:r>
              <w:rPr>
                <w:b/>
                <w:sz w:val="16"/>
              </w:rPr>
              <w:t>GO biology (dominant)</w:t>
            </w:r>
          </w:p>
        </w:tc>
        <w:tc>
          <w:tcPr>
            <w:tcW w:type="dxa" w:w="2340"/>
          </w:tcPr>
          <w:p>
            <w:r/>
            <w:r>
              <w:rPr>
                <w:b/>
                <w:sz w:val="16"/>
              </w:rPr>
              <w:t>Representative GO terms</w:t>
            </w:r>
          </w:p>
        </w:tc>
      </w:tr>
      <w:tr>
        <w:tc>
          <w:tcPr>
            <w:tcW w:type="dxa" w:w="2340"/>
          </w:tcPr>
          <w:p>
            <w:r/>
            <w:r>
              <w:rPr>
                <w:sz w:val="16"/>
              </w:rPr>
              <w:t>Adv-Root</w:t>
            </w:r>
          </w:p>
        </w:tc>
        <w:tc>
          <w:tcPr>
            <w:tcW w:type="dxa" w:w="2340"/>
          </w:tcPr>
          <w:p>
            <w:r/>
            <w:r>
              <w:rPr>
                <w:sz w:val="16"/>
              </w:rPr>
              <w:t>black</w:t>
            </w:r>
          </w:p>
        </w:tc>
        <w:tc>
          <w:tcPr>
            <w:tcW w:type="dxa" w:w="2340"/>
          </w:tcPr>
          <w:p>
            <w:r/>
            <w:r>
              <w:rPr>
                <w:sz w:val="16"/>
              </w:rPr>
              <w:t>Nucleus</w:t>
            </w:r>
          </w:p>
        </w:tc>
        <w:tc>
          <w:tcPr>
            <w:tcW w:type="dxa" w:w="2340"/>
          </w:tcPr>
          <w:p>
            <w:r/>
            <w:r>
              <w:rPr>
                <w:sz w:val="16"/>
              </w:rPr>
              <w:t>nucleus</w:t>
            </w:r>
          </w:p>
        </w:tc>
      </w:tr>
      <w:tr>
        <w:tc>
          <w:tcPr>
            <w:tcW w:type="dxa" w:w="2340"/>
          </w:tcPr>
          <w:p>
            <w:r/>
            <w:r>
              <w:rPr>
                <w:sz w:val="16"/>
              </w:rPr>
              <w:t>Adv-Root</w:t>
            </w:r>
          </w:p>
        </w:tc>
        <w:tc>
          <w:tcPr>
            <w:tcW w:type="dxa" w:w="2340"/>
          </w:tcPr>
          <w:p>
            <w:r/>
            <w:r>
              <w:rPr>
                <w:sz w:val="16"/>
              </w:rPr>
              <w:t>blue</w:t>
            </w:r>
          </w:p>
        </w:tc>
        <w:tc>
          <w:tcPr>
            <w:tcW w:type="dxa" w:w="2340"/>
          </w:tcPr>
          <w:p>
            <w:r/>
            <w:r>
              <w:rPr>
                <w:sz w:val="16"/>
              </w:rPr>
              <w:t>RNA processing</w:t>
            </w:r>
          </w:p>
        </w:tc>
        <w:tc>
          <w:tcPr>
            <w:tcW w:type="dxa" w:w="2340"/>
          </w:tcPr>
          <w:p>
            <w:r/>
            <w:r>
              <w:rPr>
                <w:sz w:val="16"/>
              </w:rPr>
              <w:t>protein binding; RNA binding; RNA modification</w:t>
            </w:r>
          </w:p>
        </w:tc>
      </w:tr>
      <w:tr>
        <w:tc>
          <w:tcPr>
            <w:tcW w:type="dxa" w:w="2340"/>
          </w:tcPr>
          <w:p>
            <w:r/>
            <w:r>
              <w:rPr>
                <w:sz w:val="16"/>
              </w:rPr>
              <w:t>Adv-Root</w:t>
            </w:r>
          </w:p>
        </w:tc>
        <w:tc>
          <w:tcPr>
            <w:tcW w:type="dxa" w:w="2340"/>
          </w:tcPr>
          <w:p>
            <w:r/>
            <w:r>
              <w:rPr>
                <w:sz w:val="16"/>
              </w:rPr>
              <w:t>brown</w:t>
            </w:r>
          </w:p>
        </w:tc>
        <w:tc>
          <w:tcPr>
            <w:tcW w:type="dxa" w:w="2340"/>
          </w:tcPr>
          <w:p>
            <w:r/>
            <w:r>
              <w:rPr>
                <w:sz w:val="16"/>
              </w:rPr>
              <w:t>Lipid / GTPase signalling</w:t>
            </w:r>
          </w:p>
        </w:tc>
        <w:tc>
          <w:tcPr>
            <w:tcW w:type="dxa" w:w="2340"/>
          </w:tcPr>
          <w:p>
            <w:r/>
            <w:r>
              <w:rPr>
                <w:sz w:val="16"/>
              </w:rPr>
              <w:t>ATP-dependent diacylglycerol kinase activity; phospholipase C-activati...</w:t>
            </w:r>
          </w:p>
        </w:tc>
      </w:tr>
      <w:tr>
        <w:tc>
          <w:tcPr>
            <w:tcW w:type="dxa" w:w="2340"/>
          </w:tcPr>
          <w:p>
            <w:r/>
            <w:r>
              <w:rPr>
                <w:sz w:val="16"/>
              </w:rPr>
              <w:t>Adv-Root</w:t>
            </w:r>
          </w:p>
        </w:tc>
        <w:tc>
          <w:tcPr>
            <w:tcW w:type="dxa" w:w="2340"/>
          </w:tcPr>
          <w:p>
            <w:r/>
            <w:r>
              <w:rPr>
                <w:sz w:val="16"/>
              </w:rPr>
              <w:t>cyan</w:t>
            </w:r>
          </w:p>
        </w:tc>
        <w:tc>
          <w:tcPr>
            <w:tcW w:type="dxa" w:w="2340"/>
          </w:tcPr>
          <w:p>
            <w:r/>
            <w:r>
              <w:rPr>
                <w:sz w:val="16"/>
              </w:rPr>
              <w:t>Photosynthesis (light harvesting)</w:t>
            </w:r>
          </w:p>
        </w:tc>
        <w:tc>
          <w:tcPr>
            <w:tcW w:type="dxa" w:w="2340"/>
          </w:tcPr>
          <w:p>
            <w:r/>
            <w:r>
              <w:rPr>
                <w:sz w:val="16"/>
              </w:rPr>
              <w:t>photosynthesis, light harvesting; photosynthesis; photosystem I</w:t>
            </w:r>
          </w:p>
        </w:tc>
      </w:tr>
      <w:tr>
        <w:tc>
          <w:tcPr>
            <w:tcW w:type="dxa" w:w="2340"/>
          </w:tcPr>
          <w:p>
            <w:r/>
            <w:r>
              <w:rPr>
                <w:sz w:val="16"/>
              </w:rPr>
              <w:t>Adv-Root</w:t>
            </w:r>
          </w:p>
        </w:tc>
        <w:tc>
          <w:tcPr>
            <w:tcW w:type="dxa" w:w="2340"/>
          </w:tcPr>
          <w:p>
            <w:r/>
            <w:r>
              <w:rPr>
                <w:sz w:val="16"/>
              </w:rPr>
              <w:t>green</w:t>
            </w:r>
          </w:p>
        </w:tc>
        <w:tc>
          <w:tcPr>
            <w:tcW w:type="dxa" w:w="2340"/>
          </w:tcPr>
          <w:p>
            <w:r/>
            <w:r>
              <w:rPr>
                <w:sz w:val="16"/>
              </w:rPr>
              <w:t>Cell wall biogenesis</w:t>
            </w:r>
          </w:p>
        </w:tc>
        <w:tc>
          <w:tcPr>
            <w:tcW w:type="dxa" w:w="2340"/>
          </w:tcPr>
          <w:p>
            <w:r/>
            <w:r>
              <w:rPr>
                <w:sz w:val="16"/>
              </w:rPr>
              <w:t>xyloglucan metabolic process; cell wall; xyloglucan:xyloglucosyl trans...</w:t>
            </w:r>
          </w:p>
        </w:tc>
      </w:tr>
      <w:tr>
        <w:tc>
          <w:tcPr>
            <w:tcW w:type="dxa" w:w="2340"/>
          </w:tcPr>
          <w:p>
            <w:r/>
            <w:r>
              <w:rPr>
                <w:sz w:val="16"/>
              </w:rPr>
              <w:t>Adv-Root</w:t>
            </w:r>
          </w:p>
        </w:tc>
        <w:tc>
          <w:tcPr>
            <w:tcW w:type="dxa" w:w="2340"/>
          </w:tcPr>
          <w:p>
            <w:r/>
            <w:r>
              <w:rPr>
                <w:sz w:val="16"/>
              </w:rPr>
              <w:t>greenyellow</w:t>
            </w:r>
          </w:p>
        </w:tc>
        <w:tc>
          <w:tcPr>
            <w:tcW w:type="dxa" w:w="2340"/>
          </w:tcPr>
          <w:p>
            <w:r/>
            <w:r>
              <w:rPr>
                <w:sz w:val="16"/>
              </w:rPr>
              <w:t>Microtubule / nucleus</w:t>
            </w:r>
          </w:p>
        </w:tc>
        <w:tc>
          <w:tcPr>
            <w:tcW w:type="dxa" w:w="2340"/>
          </w:tcPr>
          <w:p>
            <w:r/>
            <w:r>
              <w:rPr>
                <w:sz w:val="16"/>
              </w:rPr>
              <w:t>microtubule binding; ATP binding; nucleus</w:t>
            </w:r>
          </w:p>
        </w:tc>
      </w:tr>
      <w:tr>
        <w:tc>
          <w:tcPr>
            <w:tcW w:type="dxa" w:w="2340"/>
          </w:tcPr>
          <w:p>
            <w:r/>
            <w:r>
              <w:rPr>
                <w:sz w:val="16"/>
              </w:rPr>
              <w:t>Adv-Root</w:t>
            </w:r>
          </w:p>
        </w:tc>
        <w:tc>
          <w:tcPr>
            <w:tcW w:type="dxa" w:w="2340"/>
          </w:tcPr>
          <w:p>
            <w:r/>
            <w:r>
              <w:rPr>
                <w:sz w:val="16"/>
              </w:rPr>
              <w:t>lightcyan</w:t>
            </w:r>
          </w:p>
        </w:tc>
        <w:tc>
          <w:tcPr>
            <w:tcW w:type="dxa" w:w="2340"/>
          </w:tcPr>
          <w:p>
            <w:r/>
            <w:r>
              <w:rPr>
                <w:sz w:val="16"/>
              </w:rPr>
              <w:t>Protein phosphorylation</w:t>
            </w:r>
          </w:p>
        </w:tc>
        <w:tc>
          <w:tcPr>
            <w:tcW w:type="dxa" w:w="2340"/>
          </w:tcPr>
          <w:p>
            <w:r/>
            <w:r>
              <w:rPr>
                <w:sz w:val="16"/>
              </w:rPr>
              <w:t>protein phosphorylation; protein kinase activity; ATP binding</w:t>
            </w:r>
          </w:p>
        </w:tc>
      </w:tr>
      <w:tr>
        <w:tc>
          <w:tcPr>
            <w:tcW w:type="dxa" w:w="2340"/>
          </w:tcPr>
          <w:p>
            <w:r/>
            <w:r>
              <w:rPr>
                <w:sz w:val="16"/>
              </w:rPr>
              <w:t>Adv-Root</w:t>
            </w:r>
          </w:p>
        </w:tc>
        <w:tc>
          <w:tcPr>
            <w:tcW w:type="dxa" w:w="2340"/>
          </w:tcPr>
          <w:p>
            <w:r/>
            <w:r>
              <w:rPr>
                <w:sz w:val="16"/>
              </w:rPr>
              <w:t>magenta</w:t>
            </w:r>
          </w:p>
        </w:tc>
        <w:tc>
          <w:tcPr>
            <w:tcW w:type="dxa" w:w="2340"/>
          </w:tcPr>
          <w:p>
            <w:r/>
            <w:r>
              <w:rPr>
                <w:sz w:val="16"/>
              </w:rPr>
              <w:t>Terpenoid biosynthesis</w:t>
            </w:r>
          </w:p>
        </w:tc>
        <w:tc>
          <w:tcPr>
            <w:tcW w:type="dxa" w:w="2340"/>
          </w:tcPr>
          <w:p>
            <w:r/>
            <w:r>
              <w:rPr>
                <w:sz w:val="16"/>
              </w:rPr>
              <w:t>acyltransferase activity; terpene synthase activity; terpenoid biosynt...</w:t>
            </w:r>
          </w:p>
        </w:tc>
      </w:tr>
      <w:tr>
        <w:tc>
          <w:tcPr>
            <w:tcW w:type="dxa" w:w="2340"/>
          </w:tcPr>
          <w:p>
            <w:r/>
            <w:r>
              <w:rPr>
                <w:sz w:val="16"/>
              </w:rPr>
              <w:t>Adv-Root</w:t>
            </w:r>
          </w:p>
        </w:tc>
        <w:tc>
          <w:tcPr>
            <w:tcW w:type="dxa" w:w="2340"/>
          </w:tcPr>
          <w:p>
            <w:r/>
            <w:r>
              <w:rPr>
                <w:sz w:val="16"/>
              </w:rPr>
              <w:t>midnightblue</w:t>
            </w:r>
          </w:p>
        </w:tc>
        <w:tc>
          <w:tcPr>
            <w:tcW w:type="dxa" w:w="2340"/>
          </w:tcPr>
          <w:p>
            <w:r/>
            <w:r>
              <w:rPr>
                <w:sz w:val="16"/>
              </w:rPr>
              <w:t>Membrane transport</w:t>
            </w:r>
          </w:p>
        </w:tc>
        <w:tc>
          <w:tcPr>
            <w:tcW w:type="dxa" w:w="2340"/>
          </w:tcPr>
          <w:p>
            <w:r/>
            <w:r>
              <w:rPr>
                <w:sz w:val="16"/>
              </w:rPr>
              <w:t>transmembrane transporter activity; transmembrane transport; membrane</w:t>
            </w:r>
          </w:p>
        </w:tc>
      </w:tr>
      <w:tr>
        <w:tc>
          <w:tcPr>
            <w:tcW w:type="dxa" w:w="2340"/>
          </w:tcPr>
          <w:p>
            <w:r/>
            <w:r>
              <w:rPr>
                <w:sz w:val="16"/>
              </w:rPr>
              <w:t>Adv-Root</w:t>
            </w:r>
          </w:p>
        </w:tc>
        <w:tc>
          <w:tcPr>
            <w:tcW w:type="dxa" w:w="2340"/>
          </w:tcPr>
          <w:p>
            <w:r/>
            <w:r>
              <w:rPr>
                <w:sz w:val="16"/>
              </w:rPr>
              <w:t>pink</w:t>
            </w:r>
          </w:p>
        </w:tc>
        <w:tc>
          <w:tcPr>
            <w:tcW w:type="dxa" w:w="2340"/>
          </w:tcPr>
          <w:p>
            <w:r/>
            <w:r>
              <w:rPr>
                <w:sz w:val="16"/>
              </w:rPr>
              <w:t>Transcription / ubiquitination</w:t>
            </w:r>
          </w:p>
        </w:tc>
        <w:tc>
          <w:tcPr>
            <w:tcW w:type="dxa" w:w="2340"/>
          </w:tcPr>
          <w:p>
            <w:r/>
            <w:r>
              <w:rPr>
                <w:sz w:val="16"/>
              </w:rPr>
              <w:t>DNA-binding transcription factor activity; ubiquitin protein ligase ac...</w:t>
            </w:r>
          </w:p>
        </w:tc>
      </w:tr>
      <w:tr>
        <w:tc>
          <w:tcPr>
            <w:tcW w:type="dxa" w:w="2340"/>
          </w:tcPr>
          <w:p>
            <w:r/>
            <w:r>
              <w:rPr>
                <w:sz w:val="16"/>
              </w:rPr>
              <w:t>Adv-Root</w:t>
            </w:r>
          </w:p>
        </w:tc>
        <w:tc>
          <w:tcPr>
            <w:tcW w:type="dxa" w:w="2340"/>
          </w:tcPr>
          <w:p>
            <w:r/>
            <w:r>
              <w:rPr>
                <w:sz w:val="16"/>
              </w:rPr>
              <w:t>purple</w:t>
            </w:r>
          </w:p>
        </w:tc>
        <w:tc>
          <w:tcPr>
            <w:tcW w:type="dxa" w:w="2340"/>
          </w:tcPr>
          <w:p>
            <w:r/>
            <w:r>
              <w:rPr>
                <w:sz w:val="16"/>
              </w:rPr>
              <w:t>Cellulose biosynthesis</w:t>
            </w:r>
          </w:p>
        </w:tc>
        <w:tc>
          <w:tcPr>
            <w:tcW w:type="dxa" w:w="2340"/>
          </w:tcPr>
          <w:p>
            <w:r/>
            <w:r>
              <w:rPr>
                <w:sz w:val="16"/>
              </w:rPr>
              <w:t>cellulose synthase (UDP-forming) activity; cellulose biosynthetic proc...</w:t>
            </w:r>
          </w:p>
        </w:tc>
      </w:tr>
      <w:tr>
        <w:tc>
          <w:tcPr>
            <w:tcW w:type="dxa" w:w="2340"/>
          </w:tcPr>
          <w:p>
            <w:r/>
            <w:r>
              <w:rPr>
                <w:sz w:val="16"/>
              </w:rPr>
              <w:t>Adv-Root</w:t>
            </w:r>
          </w:p>
        </w:tc>
        <w:tc>
          <w:tcPr>
            <w:tcW w:type="dxa" w:w="2340"/>
          </w:tcPr>
          <w:p>
            <w:r/>
            <w:r>
              <w:rPr>
                <w:sz w:val="16"/>
              </w:rPr>
              <w:t>salmon</w:t>
            </w:r>
          </w:p>
        </w:tc>
        <w:tc>
          <w:tcPr>
            <w:tcW w:type="dxa" w:w="2340"/>
          </w:tcPr>
          <w:p>
            <w:r/>
            <w:r>
              <w:rPr>
                <w:sz w:val="16"/>
              </w:rPr>
              <w:t>Cell cycle / mitosis</w:t>
            </w:r>
          </w:p>
        </w:tc>
        <w:tc>
          <w:tcPr>
            <w:tcW w:type="dxa" w:w="2340"/>
          </w:tcPr>
          <w:p>
            <w:r/>
            <w:r>
              <w:rPr>
                <w:sz w:val="16"/>
              </w:rPr>
              <w:t>cyclin-dependent protein serine/threonine kinase regulator activity; m...</w:t>
            </w:r>
          </w:p>
        </w:tc>
      </w:tr>
      <w:tr>
        <w:tc>
          <w:tcPr>
            <w:tcW w:type="dxa" w:w="2340"/>
          </w:tcPr>
          <w:p>
            <w:r/>
            <w:r>
              <w:rPr>
                <w:sz w:val="16"/>
              </w:rPr>
              <w:t>Adv-Root</w:t>
            </w:r>
          </w:p>
        </w:tc>
        <w:tc>
          <w:tcPr>
            <w:tcW w:type="dxa" w:w="2340"/>
          </w:tcPr>
          <w:p>
            <w:r/>
            <w:r>
              <w:rPr>
                <w:sz w:val="16"/>
              </w:rPr>
              <w:t>turquoise</w:t>
            </w:r>
          </w:p>
        </w:tc>
        <w:tc>
          <w:tcPr>
            <w:tcW w:type="dxa" w:w="2340"/>
          </w:tcPr>
          <w:p>
            <w:r/>
            <w:r>
              <w:rPr>
                <w:sz w:val="16"/>
              </w:rPr>
              <w:t>Oxidative stress (peroxidase)</w:t>
            </w:r>
          </w:p>
        </w:tc>
        <w:tc>
          <w:tcPr>
            <w:tcW w:type="dxa" w:w="2340"/>
          </w:tcPr>
          <w:p>
            <w:r/>
            <w:r>
              <w:rPr>
                <w:sz w:val="16"/>
              </w:rPr>
              <w:t>peroxidase activity; hydrogen peroxide catabolic process; heme binding</w:t>
            </w:r>
          </w:p>
        </w:tc>
      </w:tr>
      <w:tr>
        <w:tc>
          <w:tcPr>
            <w:tcW w:type="dxa" w:w="2340"/>
          </w:tcPr>
          <w:p>
            <w:r/>
            <w:r>
              <w:rPr>
                <w:sz w:val="16"/>
              </w:rPr>
              <w:t>Leaf</w:t>
            </w:r>
          </w:p>
        </w:tc>
        <w:tc>
          <w:tcPr>
            <w:tcW w:type="dxa" w:w="2340"/>
          </w:tcPr>
          <w:p>
            <w:r/>
            <w:r>
              <w:rPr>
                <w:sz w:val="16"/>
              </w:rPr>
              <w:t>black</w:t>
            </w:r>
          </w:p>
        </w:tc>
        <w:tc>
          <w:tcPr>
            <w:tcW w:type="dxa" w:w="2340"/>
          </w:tcPr>
          <w:p>
            <w:r/>
            <w:r>
              <w:rPr>
                <w:sz w:val="16"/>
              </w:rPr>
              <w:t>Photosynthesis &amp; ribosome</w:t>
            </w:r>
          </w:p>
        </w:tc>
        <w:tc>
          <w:tcPr>
            <w:tcW w:type="dxa" w:w="2340"/>
          </w:tcPr>
          <w:p>
            <w:r/>
            <w:r>
              <w:rPr>
                <w:sz w:val="16"/>
              </w:rPr>
              <w:t>photosynthesis; ribosome; photosystem I</w:t>
            </w:r>
          </w:p>
        </w:tc>
      </w:tr>
      <w:tr>
        <w:tc>
          <w:tcPr>
            <w:tcW w:type="dxa" w:w="2340"/>
          </w:tcPr>
          <w:p>
            <w:r/>
            <w:r>
              <w:rPr>
                <w:sz w:val="16"/>
              </w:rPr>
              <w:t>Leaf</w:t>
            </w:r>
          </w:p>
        </w:tc>
        <w:tc>
          <w:tcPr>
            <w:tcW w:type="dxa" w:w="2340"/>
          </w:tcPr>
          <w:p>
            <w:r/>
            <w:r>
              <w:rPr>
                <w:sz w:val="16"/>
              </w:rPr>
              <w:t>blue</w:t>
            </w:r>
          </w:p>
        </w:tc>
        <w:tc>
          <w:tcPr>
            <w:tcW w:type="dxa" w:w="2340"/>
          </w:tcPr>
          <w:p>
            <w:r/>
            <w:r>
              <w:rPr>
                <w:sz w:val="16"/>
              </w:rPr>
              <w:t>Phosphate starvation / transport</w:t>
            </w:r>
          </w:p>
        </w:tc>
        <w:tc>
          <w:tcPr>
            <w:tcW w:type="dxa" w:w="2340"/>
          </w:tcPr>
          <w:p>
            <w:r/>
            <w:r>
              <w:rPr>
                <w:sz w:val="16"/>
              </w:rPr>
              <w:t>DNA-binding transcription factor activity; cellular response to phosph...</w:t>
            </w:r>
          </w:p>
        </w:tc>
      </w:tr>
      <w:tr>
        <w:tc>
          <w:tcPr>
            <w:tcW w:type="dxa" w:w="2340"/>
          </w:tcPr>
          <w:p>
            <w:r/>
            <w:r>
              <w:rPr>
                <w:sz w:val="16"/>
              </w:rPr>
              <w:t>Leaf</w:t>
            </w:r>
          </w:p>
        </w:tc>
        <w:tc>
          <w:tcPr>
            <w:tcW w:type="dxa" w:w="2340"/>
          </w:tcPr>
          <w:p>
            <w:r/>
            <w:r>
              <w:rPr>
                <w:sz w:val="16"/>
              </w:rPr>
              <w:t>brown</w:t>
            </w:r>
          </w:p>
        </w:tc>
        <w:tc>
          <w:tcPr>
            <w:tcW w:type="dxa" w:w="2340"/>
          </w:tcPr>
          <w:p>
            <w:r/>
            <w:r>
              <w:rPr>
                <w:sz w:val="16"/>
              </w:rPr>
              <w:t>Lignin / phenolic metabolism</w:t>
            </w:r>
          </w:p>
        </w:tc>
        <w:tc>
          <w:tcPr>
            <w:tcW w:type="dxa" w:w="2340"/>
          </w:tcPr>
          <w:p>
            <w:r/>
            <w:r>
              <w:rPr>
                <w:sz w:val="16"/>
              </w:rPr>
              <w:t>heme binding; endopeptidase inhibitor activity; cation binding</w:t>
            </w:r>
          </w:p>
        </w:tc>
      </w:tr>
      <w:tr>
        <w:tc>
          <w:tcPr>
            <w:tcW w:type="dxa" w:w="2340"/>
          </w:tcPr>
          <w:p>
            <w:r/>
            <w:r>
              <w:rPr>
                <w:sz w:val="16"/>
              </w:rPr>
              <w:t>Leaf</w:t>
            </w:r>
          </w:p>
        </w:tc>
        <w:tc>
          <w:tcPr>
            <w:tcW w:type="dxa" w:w="2340"/>
          </w:tcPr>
          <w:p>
            <w:r/>
            <w:r>
              <w:rPr>
                <w:sz w:val="16"/>
              </w:rPr>
              <w:t>green</w:t>
            </w:r>
          </w:p>
        </w:tc>
        <w:tc>
          <w:tcPr>
            <w:tcW w:type="dxa" w:w="2340"/>
          </w:tcPr>
          <w:p>
            <w:r/>
            <w:r>
              <w:rPr>
                <w:sz w:val="16"/>
              </w:rPr>
              <w:t>Protein ubiquitination</w:t>
            </w:r>
          </w:p>
        </w:tc>
        <w:tc>
          <w:tcPr>
            <w:tcW w:type="dxa" w:w="2340"/>
          </w:tcPr>
          <w:p>
            <w:r/>
            <w:r>
              <w:rPr>
                <w:sz w:val="16"/>
              </w:rPr>
              <w:t>protein ubiquitination; ubiquitin-protein transferase activity; cell s...</w:t>
            </w:r>
          </w:p>
        </w:tc>
      </w:tr>
      <w:tr>
        <w:tc>
          <w:tcPr>
            <w:tcW w:type="dxa" w:w="2340"/>
          </w:tcPr>
          <w:p>
            <w:r/>
            <w:r>
              <w:rPr>
                <w:sz w:val="16"/>
              </w:rPr>
              <w:t>Leaf</w:t>
            </w:r>
          </w:p>
        </w:tc>
        <w:tc>
          <w:tcPr>
            <w:tcW w:type="dxa" w:w="2340"/>
          </w:tcPr>
          <w:p>
            <w:r/>
            <w:r>
              <w:rPr>
                <w:sz w:val="16"/>
              </w:rPr>
              <w:t>greenyellow</w:t>
            </w:r>
          </w:p>
        </w:tc>
        <w:tc>
          <w:tcPr>
            <w:tcW w:type="dxa" w:w="2340"/>
          </w:tcPr>
          <w:p>
            <w:r/>
            <w:r>
              <w:rPr>
                <w:sz w:val="16"/>
              </w:rPr>
              <w:t>Chitinase / defense</w:t>
            </w:r>
          </w:p>
        </w:tc>
        <w:tc>
          <w:tcPr>
            <w:tcW w:type="dxa" w:w="2340"/>
          </w:tcPr>
          <w:p>
            <w:r/>
            <w:r>
              <w:rPr>
                <w:sz w:val="16"/>
              </w:rPr>
              <w:t>chitinase activity; chitin catabolic process; chitin binding</w:t>
            </w:r>
          </w:p>
        </w:tc>
      </w:tr>
      <w:tr>
        <w:tc>
          <w:tcPr>
            <w:tcW w:type="dxa" w:w="2340"/>
          </w:tcPr>
          <w:p>
            <w:r/>
            <w:r>
              <w:rPr>
                <w:sz w:val="16"/>
              </w:rPr>
              <w:t>Leaf</w:t>
            </w:r>
          </w:p>
        </w:tc>
        <w:tc>
          <w:tcPr>
            <w:tcW w:type="dxa" w:w="2340"/>
          </w:tcPr>
          <w:p>
            <w:r/>
            <w:r>
              <w:rPr>
                <w:sz w:val="16"/>
              </w:rPr>
              <w:t>magenta</w:t>
            </w:r>
          </w:p>
        </w:tc>
        <w:tc>
          <w:tcPr>
            <w:tcW w:type="dxa" w:w="2340"/>
          </w:tcPr>
          <w:p>
            <w:r/>
            <w:r>
              <w:rPr>
                <w:sz w:val="16"/>
              </w:rPr>
              <w:t>Transcription / ethylene</w:t>
            </w:r>
          </w:p>
        </w:tc>
        <w:tc>
          <w:tcPr>
            <w:tcW w:type="dxa" w:w="2340"/>
          </w:tcPr>
          <w:p>
            <w:r/>
            <w:r>
              <w:rPr>
                <w:sz w:val="16"/>
              </w:rPr>
              <w:t>regulation of DNA-templated transcription; ethylene-activated signalin...</w:t>
            </w:r>
          </w:p>
        </w:tc>
      </w:tr>
      <w:tr>
        <w:tc>
          <w:tcPr>
            <w:tcW w:type="dxa" w:w="2340"/>
          </w:tcPr>
          <w:p>
            <w:r/>
            <w:r>
              <w:rPr>
                <w:sz w:val="16"/>
              </w:rPr>
              <w:t>Leaf</w:t>
            </w:r>
          </w:p>
        </w:tc>
        <w:tc>
          <w:tcPr>
            <w:tcW w:type="dxa" w:w="2340"/>
          </w:tcPr>
          <w:p>
            <w:r/>
            <w:r>
              <w:rPr>
                <w:sz w:val="16"/>
              </w:rPr>
              <w:t>pink</w:t>
            </w:r>
          </w:p>
        </w:tc>
        <w:tc>
          <w:tcPr>
            <w:tcW w:type="dxa" w:w="2340"/>
          </w:tcPr>
          <w:p>
            <w:r/>
            <w:r>
              <w:rPr>
                <w:sz w:val="16"/>
              </w:rPr>
              <w:t>Cell wall / glucan</w:t>
            </w:r>
          </w:p>
        </w:tc>
        <w:tc>
          <w:tcPr>
            <w:tcW w:type="dxa" w:w="2340"/>
          </w:tcPr>
          <w:p>
            <w:r/>
            <w:r>
              <w:rPr>
                <w:sz w:val="16"/>
              </w:rPr>
              <w:t>cell wall; xyloglucan:xyloglucosyl transferase activity; glucan metabo...</w:t>
            </w:r>
          </w:p>
        </w:tc>
      </w:tr>
      <w:tr>
        <w:tc>
          <w:tcPr>
            <w:tcW w:type="dxa" w:w="2340"/>
          </w:tcPr>
          <w:p>
            <w:r/>
            <w:r>
              <w:rPr>
                <w:sz w:val="16"/>
              </w:rPr>
              <w:t>Leaf</w:t>
            </w:r>
          </w:p>
        </w:tc>
        <w:tc>
          <w:tcPr>
            <w:tcW w:type="dxa" w:w="2340"/>
          </w:tcPr>
          <w:p>
            <w:r/>
            <w:r>
              <w:rPr>
                <w:sz w:val="16"/>
              </w:rPr>
              <w:t>purple</w:t>
            </w:r>
          </w:p>
        </w:tc>
        <w:tc>
          <w:tcPr>
            <w:tcW w:type="dxa" w:w="2340"/>
          </w:tcPr>
          <w:p>
            <w:r/>
            <w:r>
              <w:rPr>
                <w:sz w:val="16"/>
              </w:rPr>
              <w:t>Fe–S cluster / biosynthesis</w:t>
            </w:r>
          </w:p>
        </w:tc>
        <w:tc>
          <w:tcPr>
            <w:tcW w:type="dxa" w:w="2340"/>
          </w:tcPr>
          <w:p>
            <w:r/>
            <w:r>
              <w:rPr>
                <w:sz w:val="16"/>
              </w:rPr>
              <w:t>iron-sulfur cluster binding; biosynthetic process</w:t>
            </w:r>
          </w:p>
        </w:tc>
      </w:tr>
      <w:tr>
        <w:tc>
          <w:tcPr>
            <w:tcW w:type="dxa" w:w="2340"/>
          </w:tcPr>
          <w:p>
            <w:r/>
            <w:r>
              <w:rPr>
                <w:sz w:val="16"/>
              </w:rPr>
              <w:t>Leaf</w:t>
            </w:r>
          </w:p>
        </w:tc>
        <w:tc>
          <w:tcPr>
            <w:tcW w:type="dxa" w:w="2340"/>
          </w:tcPr>
          <w:p>
            <w:r/>
            <w:r>
              <w:rPr>
                <w:sz w:val="16"/>
              </w:rPr>
              <w:t>red</w:t>
            </w:r>
          </w:p>
        </w:tc>
        <w:tc>
          <w:tcPr>
            <w:tcW w:type="dxa" w:w="2340"/>
          </w:tcPr>
          <w:p>
            <w:r/>
            <w:r>
              <w:rPr>
                <w:sz w:val="16"/>
              </w:rPr>
              <w:t>RNA processing</w:t>
            </w:r>
          </w:p>
        </w:tc>
        <w:tc>
          <w:tcPr>
            <w:tcW w:type="dxa" w:w="2340"/>
          </w:tcPr>
          <w:p>
            <w:r/>
            <w:r>
              <w:rPr>
                <w:sz w:val="16"/>
              </w:rPr>
              <w:t>RNA binding; protein binding; RNA modification</w:t>
            </w:r>
          </w:p>
        </w:tc>
      </w:tr>
      <w:tr>
        <w:tc>
          <w:tcPr>
            <w:tcW w:type="dxa" w:w="2340"/>
          </w:tcPr>
          <w:p>
            <w:r/>
            <w:r>
              <w:rPr>
                <w:sz w:val="16"/>
              </w:rPr>
              <w:t>Leaf</w:t>
            </w:r>
          </w:p>
        </w:tc>
        <w:tc>
          <w:tcPr>
            <w:tcW w:type="dxa" w:w="2340"/>
          </w:tcPr>
          <w:p>
            <w:r/>
            <w:r>
              <w:rPr>
                <w:sz w:val="16"/>
              </w:rPr>
              <w:t>tan</w:t>
            </w:r>
          </w:p>
        </w:tc>
        <w:tc>
          <w:tcPr>
            <w:tcW w:type="dxa" w:w="2340"/>
          </w:tcPr>
          <w:p>
            <w:r/>
            <w:r>
              <w:rPr>
                <w:sz w:val="16"/>
              </w:rPr>
              <w:t>Oxidative stress (peroxidase)</w:t>
            </w:r>
          </w:p>
        </w:tc>
        <w:tc>
          <w:tcPr>
            <w:tcW w:type="dxa" w:w="2340"/>
          </w:tcPr>
          <w:p>
            <w:r/>
            <w:r>
              <w:rPr>
                <w:sz w:val="16"/>
              </w:rPr>
              <w:t>hydrogen peroxide catabolic process; peroxidase activity; response to ...</w:t>
            </w:r>
          </w:p>
        </w:tc>
      </w:tr>
      <w:tr>
        <w:tc>
          <w:tcPr>
            <w:tcW w:type="dxa" w:w="2340"/>
          </w:tcPr>
          <w:p>
            <w:r/>
            <w:r>
              <w:rPr>
                <w:sz w:val="16"/>
              </w:rPr>
              <w:t>Leaf</w:t>
            </w:r>
          </w:p>
        </w:tc>
        <w:tc>
          <w:tcPr>
            <w:tcW w:type="dxa" w:w="2340"/>
          </w:tcPr>
          <w:p>
            <w:r/>
            <w:r>
              <w:rPr>
                <w:sz w:val="16"/>
              </w:rPr>
              <w:t>turquoise</w:t>
            </w:r>
          </w:p>
        </w:tc>
        <w:tc>
          <w:tcPr>
            <w:tcW w:type="dxa" w:w="2340"/>
          </w:tcPr>
          <w:p>
            <w:r/>
            <w:r>
              <w:rPr>
                <w:sz w:val="16"/>
              </w:rPr>
              <w:t>Chromatin / nucleosome</w:t>
            </w:r>
          </w:p>
        </w:tc>
        <w:tc>
          <w:tcPr>
            <w:tcW w:type="dxa" w:w="2340"/>
          </w:tcPr>
          <w:p>
            <w:r/>
            <w:r>
              <w:rPr>
                <w:sz w:val="16"/>
              </w:rPr>
              <w:t>nucleosome; structural constituent of chromatin; microtubule binding</w:t>
            </w:r>
          </w:p>
        </w:tc>
      </w:tr>
    </w:tbl>
    <w:p>
      <w:pPr>
        <w:pStyle w:val="Heading2"/>
      </w:pPr>
      <w:r>
        <w:t>MOFA+ confirms dominant flight factor and cross-omics coordination</w:t>
      </w:r>
    </w:p>
    <w:p>
      <w:r>
        <w:t>MOFA+ integration of the 18 leaf samples with RNA-seq, 16S and ITS data from the same leaf (transcriptome: 2,000 genes; 16S: 101 ASVs; ITS: 40 ASVs) identified 5 factors. Factor 1 was the dominant signal, explaining 44.4% of transcriptome variance, 9.0% of 16S variance, and 7.0% of ITS variance (Fig. 5A). Factor 1 was significantly correlated with flight status (Spearman ρ=−0.68, padj=0.037; Fig. 5B) and nearly as strongly with light treatment (ρ=+0.63, padj=0.053); flight and light are partly confounded in these samples, because only one flight blue-light leaf has ITS data.</w:t>
      </w:r>
    </w:p>
    <w:p>
      <w:r>
        <w:t>Factor 3 trended with 16S dysbiosis (ρ=−0.61, p=0.008, padj=0.053); no other factor–trait correlation had padj &lt; 0.1. The transcriptome contributed the highest-weighted features to Factors 1–4 and 16S ASVs to Factor 5 (Fig. S6).</w:t>
      </w:r>
    </w:p>
    <w:p>
      <w:pPr>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fig5a_mofa_variance.png"/>
                    <pic:cNvPicPr/>
                  </pic:nvPicPr>
                  <pic:blipFill>
                    <a:blip r:embed="rId18"/>
                    <a:stretch>
                      <a:fillRect/>
                    </a:stretch>
                  </pic:blipFill>
                  <pic:spPr>
                    <a:xfrm>
                      <a:off x="0" y="0"/>
                      <a:ext cx="5760720" cy="3600450"/>
                    </a:xfrm>
                    <a:prstGeom prst="rect"/>
                  </pic:spPr>
                </pic:pic>
              </a:graphicData>
            </a:graphic>
          </wp:inline>
        </w:drawing>
      </w:r>
    </w:p>
    <w:p>
      <w:r>
        <w:rPr>
          <w:b/>
        </w:rPr>
        <w:t>*Figure 5A.</w:t>
      </w:r>
      <w:r>
        <w:t xml:space="preserve"> MOFA+ variance explained per factor per view (transcriptome, 16S, ITS).*</w:t>
      </w:r>
    </w:p>
    <w:p>
      <w:pPr>
        <w:jc w:val="center"/>
      </w:pPr>
      <w:r>
        <w:drawing>
          <wp:inline xmlns:a="http://schemas.openxmlformats.org/drawingml/2006/main" xmlns:pic="http://schemas.openxmlformats.org/drawingml/2006/picture">
            <wp:extent cx="5760720" cy="4114800"/>
            <wp:docPr id="11" name="Picture 11"/>
            <wp:cNvGraphicFramePr>
              <a:graphicFrameLocks noChangeAspect="1"/>
            </wp:cNvGraphicFramePr>
            <a:graphic>
              <a:graphicData uri="http://schemas.openxmlformats.org/drawingml/2006/picture">
                <pic:pic>
                  <pic:nvPicPr>
                    <pic:cNvPr id="0" name="fig5b_mofa_correlations.png"/>
                    <pic:cNvPicPr/>
                  </pic:nvPicPr>
                  <pic:blipFill>
                    <a:blip r:embed="rId19"/>
                    <a:stretch>
                      <a:fillRect/>
                    </a:stretch>
                  </pic:blipFill>
                  <pic:spPr>
                    <a:xfrm>
                      <a:off x="0" y="0"/>
                      <a:ext cx="5760720" cy="4114800"/>
                    </a:xfrm>
                    <a:prstGeom prst="rect"/>
                  </pic:spPr>
                </pic:pic>
              </a:graphicData>
            </a:graphic>
          </wp:inline>
        </w:drawing>
      </w:r>
    </w:p>
    <w:p>
      <w:r>
        <w:rPr>
          <w:b/>
        </w:rPr>
        <w:t>*Figure 5B.</w:t>
      </w:r>
      <w:r>
        <w:t xml:space="preserve"> MOFA+ factor–trait correlations; Factor 1 captures flight (ρ=−0.68).*</w:t>
      </w:r>
    </w:p>
    <w:p>
      <w:pPr>
        <w:pStyle w:val="Heading2"/>
      </w:pPr>
      <w:r>
        <w:t>Module-taxon correlations link host modules to specific bacteria</w:t>
      </w:r>
    </w:p>
    <w:p>
      <w:r>
        <w:t xml:space="preserve">Bipartite correlation networks identified 31 significant module-taxon relationships (BH padj &lt; 0.05), predominantly in leaf 16S (28 of 31; Fig. 6; Table S9). The other three link adventitious-root modules to fungal ASVs, two of them to a </w:t>
      </w:r>
      <w:r>
        <w:rPr>
          <w:i/>
        </w:rPr>
        <w:t>Fusarium</w:t>
      </w:r>
      <w:r>
        <w:t xml:space="preserve"> ASV (ITS ASV006; blue module ρ=−0.93, turquoise ρ=+0.91). The flight-associated turquoise module positively correlated with </w:t>
      </w:r>
      <w:r>
        <w:rPr>
          <w:i/>
        </w:rPr>
        <w:t>Methylobacterium-Methylorubrum</w:t>
      </w:r>
      <w:r>
        <w:t xml:space="preserve"> (ρ=+0.76, padj=0.003), </w:t>
      </w:r>
      <w:r>
        <w:rPr>
          <w:i/>
        </w:rPr>
        <w:t>Burkholderia-Caballeronia-Paraburkholderia</w:t>
      </w:r>
      <w:r>
        <w:t xml:space="preserve"> (ρ=+0.74, padj=0.003), and </w:t>
      </w:r>
      <w:r>
        <w:rPr>
          <w:i/>
        </w:rPr>
        <w:t>Azospirillum</w:t>
      </w:r>
      <w:r>
        <w:t xml:space="preserve"> (ρ=+0.68, padj=0.012) — all genera associated with plant growth promotion and nitrogen fixation. The anti-correlated blue module showed the inverse pattern with these same taxa. The brown module correlated negatively with the flight-enriched Erwiniaceae ASV (ASV024; ρ=−0.79, padj=0.003) and </w:t>
      </w:r>
      <w:r>
        <w:rPr>
          <w:i/>
        </w:rPr>
        <w:t>Paenibacillus</w:t>
      </w:r>
      <w:r>
        <w:t xml:space="preserve"> (ρ=−0.77, padj=0.003).</w:t>
      </w:r>
    </w:p>
    <w:p>
      <w:pPr>
        <w:jc w:val="center"/>
      </w:pPr>
      <w:r>
        <w:drawing>
          <wp:inline xmlns:a="http://schemas.openxmlformats.org/drawingml/2006/main" xmlns:pic="http://schemas.openxmlformats.org/drawingml/2006/picture">
            <wp:extent cx="5760720" cy="4528087"/>
            <wp:docPr id="12" name="Picture 12"/>
            <wp:cNvGraphicFramePr>
              <a:graphicFrameLocks noChangeAspect="1"/>
            </wp:cNvGraphicFramePr>
            <a:graphic>
              <a:graphicData uri="http://schemas.openxmlformats.org/drawingml/2006/picture">
                <pic:pic>
                  <pic:nvPicPr>
                    <pic:cNvPr id="0" name="fig6_module_taxon_network.png"/>
                    <pic:cNvPicPr/>
                  </pic:nvPicPr>
                  <pic:blipFill>
                    <a:blip r:embed="rId20"/>
                    <a:stretch>
                      <a:fillRect/>
                    </a:stretch>
                  </pic:blipFill>
                  <pic:spPr>
                    <a:xfrm>
                      <a:off x="0" y="0"/>
                      <a:ext cx="5760720" cy="4528087"/>
                    </a:xfrm>
                    <a:prstGeom prst="rect"/>
                  </pic:spPr>
                </pic:pic>
              </a:graphicData>
            </a:graphic>
          </wp:inline>
        </w:drawing>
      </w:r>
    </w:p>
    <w:p>
      <w:r>
        <w:rPr>
          <w:b/>
        </w:rPr>
        <w:t>*Figure 6.</w:t>
      </w:r>
      <w:r>
        <w:t xml:space="preserve"> Significant leaf module–taxon correlations (BH padj&lt;0.05); modules carry their GO-biology labels (Table 1). The flight-associated turquoise (chromatin/nucleosome) module positively tracks Methylobacterium, Burkholderia and Azospirillum, while the blue (phosphate-starvation) module shows the inverse.*</w:t>
      </w:r>
    </w:p>
    <w:p>
      <w:pPr>
        <w:pStyle w:val="Heading2"/>
      </w:pPr>
      <w:r>
        <w:t>Predicted bacterial functions</w:t>
      </w:r>
    </w:p>
    <w:p>
      <w:r>
        <w:t xml:space="preserve">FAPROTAX assigned 205 of the 348 bacterial ASVs to 44 functional groups (Table S6). By read count the largest were chemoheterotrophy (786,147 reads, 180 ASVs) and its subset aerobic chemoheterotrophy (688,214 reads, 150 ASVs), ureolysis (235,475 reads, 31 ASVs), nitrogen fixation (223,554 reads, 15 ASVs), methylotrophy (96,868 reads, 16 ASVs) and methanol oxidation (96,687 reads, 15 ASVs) (Fig. 7). The methylotrophy and methanol oxidation assignments were almost entirely </w:t>
      </w:r>
      <w:r>
        <w:rPr>
          <w:i/>
        </w:rPr>
        <w:t>Methylobacterium-Methylorubrum</w:t>
      </w:r>
      <w:r>
        <w:t xml:space="preserve"> (14 ASVs), the genus most strongly correlated with the flight-associated turquoise module. Methanotrophy was minor (181 reads, 1 ASV): </w:t>
      </w:r>
      <w:r>
        <w:rPr>
          <w:i/>
        </w:rPr>
        <w:t>Methylobacterium</w:t>
      </w:r>
      <w:r>
        <w:t xml:space="preserve"> oxidizes methanol, not methane.</w:t>
      </w:r>
    </w:p>
    <w:p>
      <w:r>
        <w:t xml:space="preserve">Fungal guild assignment (manual genus-level classification) identified saprotrophs (11 ASVs, dominated by </w:t>
      </w:r>
      <w:r>
        <w:rPr>
          <w:i/>
        </w:rPr>
        <w:t>Penicillium</w:t>
      </w:r>
      <w:r>
        <w:t xml:space="preserve"> and </w:t>
      </w:r>
      <w:r>
        <w:rPr>
          <w:i/>
        </w:rPr>
        <w:t>Aspergillus</w:t>
      </w:r>
      <w:r>
        <w:t xml:space="preserve">) and plant pathogens (2 ASVs: </w:t>
      </w:r>
      <w:r>
        <w:rPr>
          <w:i/>
        </w:rPr>
        <w:t>Fusarium</w:t>
      </w:r>
      <w:r>
        <w:t xml:space="preserve"> spp.) as the main ecological guilds (Table S7).</w:t>
      </w:r>
    </w:p>
    <w:p>
      <w:pPr>
        <w:jc w:val="center"/>
      </w:pPr>
      <w:r>
        <w:drawing>
          <wp:inline xmlns:a="http://schemas.openxmlformats.org/drawingml/2006/main" xmlns:pic="http://schemas.openxmlformats.org/drawingml/2006/picture">
            <wp:extent cx="5760720" cy="4320540"/>
            <wp:docPr id="13" name="Picture 13"/>
            <wp:cNvGraphicFramePr>
              <a:graphicFrameLocks noChangeAspect="1"/>
            </wp:cNvGraphicFramePr>
            <a:graphic>
              <a:graphicData uri="http://schemas.openxmlformats.org/drawingml/2006/picture">
                <pic:pic>
                  <pic:nvPicPr>
                    <pic:cNvPr id="0" name="fig7_faprotax.png"/>
                    <pic:cNvPicPr/>
                  </pic:nvPicPr>
                  <pic:blipFill>
                    <a:blip r:embed="rId21"/>
                    <a:stretch>
                      <a:fillRect/>
                    </a:stretch>
                  </pic:blipFill>
                  <pic:spPr>
                    <a:xfrm>
                      <a:off x="0" y="0"/>
                      <a:ext cx="5760720" cy="4320540"/>
                    </a:xfrm>
                    <a:prstGeom prst="rect"/>
                  </pic:spPr>
                </pic:pic>
              </a:graphicData>
            </a:graphic>
          </wp:inline>
        </w:drawing>
      </w:r>
    </w:p>
    <w:p>
      <w:r>
        <w:rPr>
          <w:b/>
        </w:rPr>
        <w:t>*Figure 7.</w:t>
      </w:r>
      <w:r>
        <w:t xml:space="preserve"> FAPROTAX predicted bacterial functions (FAPROTAX 1.2.12; the 15 largest groups by read count: chemoheterotrophy, ureolysis, nitrogen fixation, methylotrophy and others).*</w:t>
      </w:r>
    </w:p>
    <w:p>
      <w:pPr>
        <w:pStyle w:val="Heading1"/>
      </w:pPr>
      <w:r>
        <w:t>Discussion</w:t>
      </w:r>
    </w:p>
    <w:p>
      <w:r>
        <w:t>This study presents the first integrated multi-omics analysis of plant-microbiome interactions in the ISS VEG-05 experiment. Our findings reveal three key insights: (1) spaceflight restructures both the bacterial and the fungal communities of leaves, with increased bacterial alpha diversity in flight; (2) the host transcriptional response to spaceflight is strongly light-dependent, particularly in leaves; and (3) a subset of host genes responds to microbial community changes independently of the direct spaceflight stimulus, providing evidence for microbe-driven host regulation.</w:t>
      </w:r>
    </w:p>
    <w:p>
      <w:r>
        <w:t>The increased bacterial alpha diversity in flight leaves was initially counterintuitive, as spaceflight is often associated with reduced microbial diversity in human microbiome studies [21]. However, in the phyllosphere, the reduced gravity environment may alter leaf surface properties and nutrient availability, potentially creating more ecological niches. The strong correlation between the flight-associated WGCNA module and plant growth-promoting bacteria (</w:t>
      </w:r>
      <w:r>
        <w:rPr>
          <w:i/>
        </w:rPr>
        <w:t>Methylobacterium</w:t>
      </w:r>
      <w:r>
        <w:t xml:space="preserve">, </w:t>
      </w:r>
      <w:r>
        <w:rPr>
          <w:i/>
        </w:rPr>
        <w:t>Burkholderia</w:t>
      </w:r>
      <w:r>
        <w:t xml:space="preserve">, </w:t>
      </w:r>
      <w:r>
        <w:rPr>
          <w:i/>
        </w:rPr>
        <w:t>Azospirillum</w:t>
      </w:r>
      <w:r>
        <w:t>) suggests that spaceflight may favor these beneficial taxa, though the directionality of this association (whether the host selects for these bacteria or the bacteria facilitate host adaptation) requires further investigation.</w:t>
      </w:r>
    </w:p>
    <w:p>
      <w:r>
        <w:t>The light-dependent transcriptional response is a novel finding with practical implications for space crop production. The 9-fold difference in DEG counts between blue and red light conditions (4,716 vs. 523) suggests that blue light may amplify the plant's perception of or response to the spaceflight environment. Blue light is known to activate cryptochrome photoreceptors and downstream stress signaling pathways [22], which may interact with spaceflight-induced oxidative stress.</w:t>
      </w:r>
    </w:p>
    <w:p>
      <w:r>
        <w:t>The identification of a microbe-driven WGCNA module in adventitious roots (black module, 169 genes) is perhaps the most significant finding. This module's strong correlation with fungal dysbiosis (r=−0.85) but not with flight status (r=−0.38, padj=0.32) indicates that the host transcriptional response in this module is driven by microbial community changes rather than directly by the spaceflight environment. Although the black module's own GO enrichment was limited (its only enriched term was "nucleus"), the broader adventitious-root oxidative-stress program — concentrated in the larger turquoise module — together with the black module's tight coupling to fungal dysbiosis suggests that fungal community restructuring may trigger host defense and redox responses, potentially through oxidative burst signaling.</w:t>
      </w:r>
    </w:p>
    <w:p>
      <w:pPr>
        <w:pStyle w:val="Heading2"/>
      </w:pPr>
      <w:r>
        <w:t>Relationship to a cross-mission salicylic-acid integration</w:t>
      </w:r>
    </w:p>
    <w:p>
      <w:r>
        <w:t xml:space="preserve">These microbiome findings dovetail with a companion cross-mission analysis that integrated the same OSD-767 transcriptome with an Advanced Plant Habitat experiment manipulating salicylic-acid (SA) signalling (wild-type MoneyMaker versus the SA-deficient </w:t>
      </w:r>
      <w:r>
        <w:rPr>
          <w:i/>
        </w:rPr>
        <w:t>NahG</w:t>
      </w:r>
      <w:r>
        <w:t xml:space="preserve"> line). That analysis concluded that the spaceflight transcriptome resembles an SA-deficient, biotic-defense-primed state. Our results offer a proximal explanation: spaceflight-induced dysbiosis — and the microbe-driven, flight-independent host module identified here — could be the stimulus that elicits that defense-primed signature, with SA acting as the gating regulator of plant biotic immunity. Reassuringly, both analyses independently recover the blue-light amplification of the spaceflight response (here, 4,716 versus 523 leaf DEGs; there, a blue-LED-amplified biotic/hormone stress axis) despite using different pipelines. This also rationalises why gene-level spaceflight signatures replicate poorly across missions while the biotic-defense </w:t>
      </w:r>
      <w:r>
        <w:rPr>
          <w:i/>
        </w:rPr>
        <w:t>pattern</w:t>
      </w:r>
      <w:r>
        <w:t xml:space="preserve"> is conserved: if that pattern tracks the mission-variable microbiome rather than a fixed microgravity program, pattern-level conservation alongside gene-level divergence is exactly what one expects. A full comparison is provided in `COMPARISON_with_SA_integration.md`.</w:t>
      </w:r>
    </w:p>
    <w:p>
      <w:pPr>
        <w:pStyle w:val="Heading2"/>
      </w:pPr>
      <w:r>
        <w:t>Limitations</w:t>
      </w:r>
    </w:p>
    <w:p>
      <w:r>
        <w:t>Several limitations should be noted. First, sample sizes are small (n=21 leaf, n=15 root for RNA-seq; n=1–6 per flight × light group for microbiome), limiting statistical power. Second, 16S leaf samples had very low bacterial read counts after host DNA removal (median 89 reads), precluding rarefaction and requiring reliance on relative abundance metrics. Third, the ITS dataset had uneven group representation, with some flight groups containing only 1–2 samples, and two flight adventitious-root samples retained a single ITS read each. Fourth, MOFA+ warned that Factor 1 may partially capture technical variation (detection rate differences), though the strong biological signal supports its interpretation as a flight factor. Fifth, FAPROTAX functional predictions are based on taxonomy and should be validated with metagenomic or metatranscriptomic data. Sixth, the FUNGuild analysis used manual genus-level assignment rather than the full database, reducing assignment confidence. Finally, this study is correlational; causal relationships between host transcription and microbiome changes require experimental validation, ideally in simulated microgravity conditions with microbiome manipulation.</w:t>
      </w:r>
    </w:p>
    <w:p>
      <w:pPr>
        <w:pStyle w:val="Heading1"/>
      </w:pPr>
      <w:r>
        <w:t>Figure legends</w:t>
      </w:r>
    </w:p>
    <w:p>
      <w:pPr>
        <w:pStyle w:val="ListBullet"/>
      </w:pPr>
      <w:r>
        <w:rPr>
          <w:b/>
        </w:rPr>
        <w:t>Figure 1. Study design and analysis overview.</w:t>
      </w:r>
      <w:r>
        <w:t xml:space="preserve"> The ISS VEG-05 experiment (tomato cv. Red Robin; Flight vs Ground; red-rich vs blue-rich LED; leaf and adventitious root) feeds two data streams — host transcriptome (OSD-767) and microbiome (OSD-766) — that are combined through DESeq2, WGCNA, a dysbiosis index, MOFA+, and module–taxon networks.</w:t>
      </w:r>
    </w:p>
    <w:p>
      <w:pPr>
        <w:pStyle w:val="ListBullet"/>
      </w:pPr>
      <w:r>
        <w:rPr>
          <w:b/>
        </w:rPr>
        <w:t>Figure 2A.</w:t>
      </w:r>
      <w:r>
        <w:t xml:space="preserve"> Bacterial (16S) alpha diversity (Observed ASVs) by flight status and light treatment; flight leaves show higher diversity.</w:t>
      </w:r>
    </w:p>
    <w:p>
      <w:pPr>
        <w:pStyle w:val="ListBullet"/>
      </w:pPr>
      <w:r>
        <w:rPr>
          <w:b/>
        </w:rPr>
        <w:t>Figure 2B (16S).</w:t>
      </w:r>
      <w:r>
        <w:t xml:space="preserve"> Bacterial dysbiosis index (mean Bray-Curtis distance to ground samples, relative to ground-ground distance); elevated under flight.</w:t>
      </w:r>
    </w:p>
    <w:p>
      <w:pPr>
        <w:pStyle w:val="ListBullet"/>
      </w:pPr>
      <w:r>
        <w:rPr>
          <w:b/>
        </w:rPr>
        <w:t>Figure 2B (ITS).</w:t>
      </w:r>
      <w:r>
        <w:t xml:space="preserve"> Fungal dysbiosis index; the largest displacement is in flight leaves.</w:t>
      </w:r>
    </w:p>
    <w:p>
      <w:pPr>
        <w:pStyle w:val="ListBullet"/>
      </w:pPr>
      <w:r>
        <w:rPr>
          <w:b/>
        </w:rPr>
        <w:t>Figure 3.</w:t>
      </w:r>
      <w:r>
        <w:t xml:space="preserve"> DEG summary across tissue × contrast; the leaf blue-light flight response (4,716 DEGs) dwarfs red (523).</w:t>
      </w:r>
    </w:p>
    <w:p>
      <w:pPr>
        <w:pStyle w:val="ListBullet"/>
      </w:pPr>
      <w:r>
        <w:rPr>
          <w:b/>
        </w:rPr>
        <w:t>Figure 3B.</w:t>
      </w:r>
      <w:r>
        <w:t xml:space="preserve"> Leaf Flight-vs-Ground volcano (flight main effect of the flight × light model: the flight effect averaged over the two light treatments).</w:t>
      </w:r>
    </w:p>
    <w:p>
      <w:pPr>
        <w:pStyle w:val="ListBullet"/>
      </w:pPr>
      <w:r>
        <w:rPr>
          <w:b/>
        </w:rPr>
        <w:t>Figure 3C.</w:t>
      </w:r>
      <w:r>
        <w:t xml:space="preserve"> Adventitious-root Flight-vs-Ground volcano (flight main effect, averaged over the two light treatments; predominantly upregulation).</w:t>
      </w:r>
    </w:p>
    <w:p>
      <w:pPr>
        <w:pStyle w:val="ListBullet"/>
      </w:pPr>
      <w:r>
        <w:rPr>
          <w:b/>
        </w:rPr>
        <w:t>Figure 4 (Leaf).</w:t>
      </w:r>
      <w:r>
        <w:t xml:space="preserve"> WGCNA module–trait correlations (flight, light, 16S/ITS dysbiosis). Each module is labelled with its dominant GO biology (Table 1); cells show Pearson r with significance stars.</w:t>
      </w:r>
    </w:p>
    <w:p>
      <w:pPr>
        <w:pStyle w:val="ListBullet"/>
      </w:pPr>
      <w:r>
        <w:rPr>
          <w:b/>
        </w:rPr>
        <w:t>Figure 4 (Adv-Root).</w:t>
      </w:r>
      <w:r>
        <w:t xml:space="preserve"> Module–trait correlations with GO-biology labels (Table 1). The black (nucleus) module tracks ITS dysbiosis (r=−0.85) but not flight; the turquoise (oxidative-stress/peroxidase) module is the largest flight-correlated module.</w:t>
      </w:r>
    </w:p>
    <w:p>
      <w:pPr>
        <w:pStyle w:val="ListBullet"/>
      </w:pPr>
      <w:r>
        <w:rPr>
          <w:b/>
        </w:rPr>
        <w:t>Figure 5A.</w:t>
      </w:r>
      <w:r>
        <w:t xml:space="preserve"> MOFA+ variance explained per factor per view (transcriptome, 16S, ITS).</w:t>
      </w:r>
    </w:p>
    <w:p>
      <w:pPr>
        <w:pStyle w:val="ListBullet"/>
      </w:pPr>
      <w:r>
        <w:rPr>
          <w:b/>
        </w:rPr>
        <w:t>Figure 5B.</w:t>
      </w:r>
      <w:r>
        <w:t xml:space="preserve"> MOFA+ factor–trait correlations; Factor 1 captures flight (ρ=−0.68).</w:t>
      </w:r>
    </w:p>
    <w:p>
      <w:pPr>
        <w:pStyle w:val="ListBullet"/>
      </w:pPr>
      <w:r>
        <w:rPr>
          <w:b/>
        </w:rPr>
        <w:t>Figure 6.</w:t>
      </w:r>
      <w:r>
        <w:t xml:space="preserve"> Significant leaf module–taxon correlations (BH padj&lt;0.05); modules carry their GO-biology labels (Table 1). The flight-associated turquoise (chromatin/nucleosome) module positively tracks Methylobacterium, Burkholderia and Azospirillum, while the blue (phosphate-starvation) module shows the inverse.</w:t>
      </w:r>
    </w:p>
    <w:p>
      <w:pPr>
        <w:pStyle w:val="ListBullet"/>
      </w:pPr>
      <w:r>
        <w:rPr>
          <w:b/>
        </w:rPr>
        <w:t>Figure 7.</w:t>
      </w:r>
      <w:r>
        <w:t xml:space="preserve"> FAPROTAX predicted bacterial functions (FAPROTAX 1.2.12; the 15 largest groups by read count: chemoheterotrophy, ureolysis, nitrogen fixation, methylotrophy and others).</w:t>
      </w:r>
    </w:p>
    <w:p>
      <w:pPr>
        <w:pStyle w:val="Heading1"/>
      </w:pPr>
      <w:r>
        <w:t>Acknowledgements</w:t>
      </w:r>
    </w:p>
    <w:p>
      <w:r>
        <w:t>This work used data from NASA's Open Science Data Repository (OSD-766, OSD-767) generated by the VEG-05 experiment team. We thank the ISS crew and ground support teams for sample collection and the GeneLab community for data processing.</w:t>
      </w:r>
    </w:p>
    <w:p>
      <w:pPr>
        <w:pStyle w:val="Heading1"/>
      </w:pPr>
      <w:r>
        <w:t>References</w:t>
      </w:r>
    </w:p>
    <w:p>
      <w:r>
        <w:t xml:space="preserve">[1] Bulgarelli, D. et al. Structure and functions of the bacterial microbiota of plants. </w:t>
      </w:r>
      <w:r>
        <w:rPr>
          <w:i/>
        </w:rPr>
        <w:t>Annu. Rev. Plant Biol.</w:t>
      </w:r>
      <w:r>
        <w:t xml:space="preserve"> 64, 807–838 (2013).</w:t>
      </w:r>
    </w:p>
    <w:p>
      <w:r>
        <w:t xml:space="preserve">[2] TODO: citation needed. The reference previously listed here (Wheeler, R.M. et al., </w:t>
      </w:r>
      <w:r>
        <w:rPr>
          <w:i/>
        </w:rPr>
        <w:t>Adv. Space Res.</w:t>
      </w:r>
      <w:r>
        <w:t xml:space="preserve"> 41, 1057–1066, 2008) matches no published record.</w:t>
      </w:r>
    </w:p>
    <w:p>
      <w:r>
        <w:t xml:space="preserve">[3] Spern, C.J. et al. The microbial communities of a tomato crop grown in Veggie under different lighting regimes on the International Space Station. </w:t>
      </w:r>
      <w:r>
        <w:rPr>
          <w:i/>
        </w:rPr>
        <w:t>Life Sci. Space Res.</w:t>
      </w:r>
      <w:r>
        <w:t xml:space="preserve"> 52, 84–97 (2026).</w:t>
      </w:r>
    </w:p>
    <w:p>
      <w:r>
        <w:t xml:space="preserve">[4] TODO: citation needed. The reference previously listed here (Rosenzweig, J.A. et al., </w:t>
      </w:r>
      <w:r>
        <w:rPr>
          <w:i/>
        </w:rPr>
        <w:t>npj Microgravity</w:t>
      </w:r>
      <w:r>
        <w:t xml:space="preserve"> 1, 15009, 2015) matches no published record.</w:t>
      </w:r>
    </w:p>
    <w:p>
      <w:r>
        <w:t xml:space="preserve">[5] TODO: citation needed. The reference previously listed here (Voorhies, A.A. et al., </w:t>
      </w:r>
      <w:r>
        <w:rPr>
          <w:i/>
        </w:rPr>
        <w:t>PLoS ONE</w:t>
      </w:r>
      <w:r>
        <w:t xml:space="preserve"> 14, e0224893, 2019) matches no published record.</w:t>
      </w:r>
    </w:p>
    <w:p>
      <w:r>
        <w:t xml:space="preserve">[6] Argelaguet, R. et al. MOFA+: a statistical framework for comprehensive integration of multi-modal single-cell data. </w:t>
      </w:r>
      <w:r>
        <w:rPr>
          <w:i/>
        </w:rPr>
        <w:t>Genome Biol.</w:t>
      </w:r>
      <w:r>
        <w:t xml:space="preserve"> 21, 111 (2020).</w:t>
      </w:r>
    </w:p>
    <w:p>
      <w:r>
        <w:t xml:space="preserve">[7] Langfelder, P. &amp; Horvath, S. WGCNA: an R package for weighted correlation network analysis. </w:t>
      </w:r>
      <w:r>
        <w:rPr>
          <w:i/>
        </w:rPr>
        <w:t>BMC Bioinformatics</w:t>
      </w:r>
      <w:r>
        <w:t xml:space="preserve"> 9, 559 (2008).</w:t>
      </w:r>
    </w:p>
    <w:p>
      <w:r>
        <w:t xml:space="preserve">[8] Callahan, B.J. et al. DADA2: High-resolution sample inference from Illumina amplicon data. </w:t>
      </w:r>
      <w:r>
        <w:rPr>
          <w:i/>
        </w:rPr>
        <w:t>Nat. Methods</w:t>
      </w:r>
      <w:r>
        <w:t xml:space="preserve"> 13, 581–583 (2016).</w:t>
      </w:r>
    </w:p>
    <w:p>
      <w:r>
        <w:t xml:space="preserve">[9] Quast, C. et al. The SILVA ribosomal RNA gene database project: improved data processing and web-based tools. </w:t>
      </w:r>
      <w:r>
        <w:rPr>
          <w:i/>
        </w:rPr>
        <w:t>Nucleic Acids Res.</w:t>
      </w:r>
      <w:r>
        <w:t xml:space="preserve"> 41, D590–D596 (2013).</w:t>
      </w:r>
    </w:p>
    <w:p>
      <w:r>
        <w:t xml:space="preserve">[10] Martin, M. Cutadapt removes adapter sequences from high-throughput sequencing reads. </w:t>
      </w:r>
      <w:r>
        <w:rPr>
          <w:i/>
        </w:rPr>
        <w:t>EMBnet.journal</w:t>
      </w:r>
      <w:r>
        <w:t xml:space="preserve"> 17, 10–12 (2011).</w:t>
      </w:r>
    </w:p>
    <w:p>
      <w:r>
        <w:t xml:space="preserve">[11] Kõljalg, U. et al. UNITE: a database providing web-based methods for the molecular identification of ectomycorrhizal fungi. </w:t>
      </w:r>
      <w:r>
        <w:rPr>
          <w:i/>
        </w:rPr>
        <w:t>New Phytol.</w:t>
      </w:r>
      <w:r>
        <w:t xml:space="preserve"> 166, 1063–1068 (2005).</w:t>
      </w:r>
    </w:p>
    <w:p>
      <w:r>
        <w:t xml:space="preserve">[12] Love, M.I. et al. Moderated estimation of fold change and dispersion for RNA-seq data with DESeq2. </w:t>
      </w:r>
      <w:r>
        <w:rPr>
          <w:i/>
        </w:rPr>
        <w:t>Genome Biol.</w:t>
      </w:r>
      <w:r>
        <w:t xml:space="preserve"> 15, 550 (2014).</w:t>
      </w:r>
    </w:p>
    <w:p>
      <w:r>
        <w:t xml:space="preserve">[13] Zhu, A., Ibrahim, J.G. &amp; Love, M.I. Heavy-tailed prior distributions for sequence count data: removing the noise and preserving large differences. </w:t>
      </w:r>
      <w:r>
        <w:rPr>
          <w:i/>
        </w:rPr>
        <w:t>Bioinformatics</w:t>
      </w:r>
      <w:r>
        <w:t xml:space="preserve"> 35, 2084–2092 (2019).</w:t>
      </w:r>
    </w:p>
    <w:p>
      <w:r>
        <w:t xml:space="preserve">[14] Stephens, M. False discovery rates: a new deal. </w:t>
      </w:r>
      <w:r>
        <w:rPr>
          <w:i/>
        </w:rPr>
        <w:t>Biostatistics</w:t>
      </w:r>
      <w:r>
        <w:t xml:space="preserve"> 18, 275–294 (2017).</w:t>
      </w:r>
    </w:p>
    <w:p>
      <w:r>
        <w:t xml:space="preserve">[15] McMurdie, P.J. &amp; Holmes, S. phyloseq: an R package for reproducible interactive analysis and graphics of microbiome census data. </w:t>
      </w:r>
      <w:r>
        <w:rPr>
          <w:i/>
        </w:rPr>
        <w:t>PLoS ONE</w:t>
      </w:r>
      <w:r>
        <w:t xml:space="preserve"> 8, e61217 (2013).</w:t>
      </w:r>
    </w:p>
    <w:p>
      <w:r>
        <w:t>[16] Oksanen, J. et al. vegan: Community Ecology Package. R package version 2.7-5 (2026).</w:t>
      </w:r>
    </w:p>
    <w:p>
      <w:r>
        <w:t xml:space="preserve">[17] Fernandes, A.D. et al. Unifying the analysis of high-throughput sequencing datasets: characterizing RNA-seq, 16S rRNA gene sequencing and selective growth experiments by compositional data analysis. </w:t>
      </w:r>
      <w:r>
        <w:rPr>
          <w:i/>
        </w:rPr>
        <w:t>Microbiome</w:t>
      </w:r>
      <w:r>
        <w:t xml:space="preserve"> 2, 15 (2014).</w:t>
      </w:r>
    </w:p>
    <w:p>
      <w:r>
        <w:t xml:space="preserve">[18] Yu, G. et al. clusterProfiler: an R package for comparing biological themes among gene clusters. </w:t>
      </w:r>
      <w:r>
        <w:rPr>
          <w:i/>
        </w:rPr>
        <w:t>OMICS</w:t>
      </w:r>
      <w:r>
        <w:t xml:space="preserve"> 16, 284–287 (2012).</w:t>
      </w:r>
    </w:p>
    <w:p>
      <w:r>
        <w:t xml:space="preserve">[19] Louca, S., Parfrey, L.W. &amp; Doebeli, M. Decoupling function and taxonomy in the global ocean microbiome. </w:t>
      </w:r>
      <w:r>
        <w:rPr>
          <w:i/>
        </w:rPr>
        <w:t>Science</w:t>
      </w:r>
      <w:r>
        <w:t xml:space="preserve"> 353, 1272–1277 (2016).</w:t>
      </w:r>
    </w:p>
    <w:p>
      <w:r>
        <w:t xml:space="preserve">[20] Nguyen, N.H. et al. FUNGuild: an open annotation tool for parsing fungal community datasets by ecological guild. </w:t>
      </w:r>
      <w:r>
        <w:rPr>
          <w:i/>
        </w:rPr>
        <w:t>Fungal Ecol.</w:t>
      </w:r>
      <w:r>
        <w:t xml:space="preserve"> 20, 241–248 (2016).</w:t>
      </w:r>
    </w:p>
    <w:p>
      <w:r>
        <w:t xml:space="preserve">[21] Voorhies, A.A. et al. Study of the impact of long-duration space missions at the International Space Station on the astronaut microbiome. </w:t>
      </w:r>
      <w:r>
        <w:rPr>
          <w:i/>
        </w:rPr>
        <w:t>Sci. Rep.</w:t>
      </w:r>
      <w:r>
        <w:t xml:space="preserve"> 9, 9911 (2019).</w:t>
      </w:r>
    </w:p>
    <w:p>
      <w:r>
        <w:t xml:space="preserve">[22] Chaves, I. et al. The cryptochromes: blue light photoreceptors in plants and animals. </w:t>
      </w:r>
      <w:r>
        <w:rPr>
          <w:i/>
        </w:rPr>
        <w:t>Annu. Rev. Plant Biol.</w:t>
      </w:r>
      <w:r>
        <w:t xml:space="preserve"> 62, 335–364 (2011).</w:t>
      </w:r>
    </w:p>
    <w:p>
      <w:r>
        <w:t xml:space="preserve">[23] Dixit, A.R. et al. Stress and light spectral quality influence the transcriptome of a tomato crop on the International Space Station. </w:t>
      </w:r>
      <w:r>
        <w:rPr>
          <w:i/>
        </w:rPr>
        <w:t>BMC Plant Biol.</w:t>
      </w:r>
      <w:r>
        <w:t xml:space="preserve"> 26, 764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