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 vs. blue). DADA2 processing yielded 348 bacterial and 77 fungal ASVs from 142 and 141 samples respectively. Spaceflight significantly reshaped leaf bacterial communities (PERMANOVA R²=0.42, p=0.001) and increased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padj=0.001) but not with flight status (r=−0.38, p=0.32), representing a microbe-driven host transcriptional signature independent of the direct spaceflight stimulus. MOFA+ integration across three omics layers confirmed a dominant flight-associated factor (48% transcriptome variance) and revealed that the leaf bacterial community was more responsive to spaceflight than the fungal community. FAPROTAX functional prediction identified nitrogen fixation, methanotrophy, and methanol oxidation as enriched functions in the bacterial community.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and OSD-767 (host RNA-seq). The VEG-05 experiment grew tomato cv. Red Robin aboard the ISS under red or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138.2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The design model included flight status, light treatment, and their interaction. Log-fold changes were shrunk with apeglm [13] for main effects and ashr [14] for subset contrasts.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as the Bray-Curtis distance of each flight sample to the centroid of its corresponding ground control group, normalized by the mean ground-ground distance. Differential abundance testing used ALDEx2 [17] with 128 Monte Carlo instances, requiring both Welch p &lt; 0.05 and |effect size| &gt; 1.</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with flight status, light treatment, and 16S/ITS dysbiosis indices. Hub genes were identified by module membership (kME &gt; 0.8).</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[GitHub repository URL].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Spaceflight significantly altered leaf bacterial community composition (PERMANOVA: R²=0.42, F=4.02, p=0.001, n=21) and adventitious root communities (R²=0.33, F=2.93, p=0.001, n=15). In leaves, bacterial alpha diversity was higher in flight samples: Observed ASVs ranged from 17.8–25.8 in flight versus 10.0–15.2 in ground controls (Fig. 2A).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ig2a_alpha_diversity_16S.png"/>
                    <pic:cNvPicPr/>
                  </pic:nvPicPr>
                  <pic:blipFill>
                    <a:blip r:embed="rId9"/>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was marginally significant (R²=0.45, p=0.054). Adventitious root fungal communities were significantly reshaped (R²=0.65, F=8.19, p=0.001).</w:t>
      </w:r>
    </w:p>
    <w:p>
      <w:pPr>
        <w:jc w:val="center"/>
      </w:pPr>
      <w:r>
        <w:drawing>
          <wp:inline xmlns:a="http://schemas.openxmlformats.org/drawingml/2006/main" xmlns:pic="http://schemas.openxmlformats.org/drawingml/2006/picture">
            <wp:extent cx="5760720" cy="4800600"/>
            <wp:docPr id="2" name="Picture 2"/>
            <wp:cNvGraphicFramePr>
              <a:graphicFrameLocks noChangeAspect="1"/>
            </wp:cNvGraphicFramePr>
            <a:graphic>
              <a:graphicData uri="http://schemas.openxmlformats.org/drawingml/2006/picture">
                <pic:pic>
                  <pic:nvPicPr>
                    <pic:cNvPr id="0" name="fig2b_dysbiosis_16S.png"/>
                    <pic:cNvPicPr/>
                  </pic:nvPicPr>
                  <pic:blipFill>
                    <a:blip r:embed="rId10"/>
                    <a:stretch>
                      <a:fillRect/>
                    </a:stretch>
                  </pic:blipFill>
                  <pic:spPr>
                    <a:xfrm>
                      <a:off x="0" y="0"/>
                      <a:ext cx="5760720" cy="4800600"/>
                    </a:xfrm>
                    <a:prstGeom prst="rect"/>
                  </pic:spPr>
                </pic:pic>
              </a:graphicData>
            </a:graphic>
          </wp:inline>
        </w:drawing>
      </w:r>
    </w:p>
    <w:p>
      <w:r>
        <w:rPr>
          <w:b/>
        </w:rPr>
        <w:t>*Figure 2B (16S).</w:t>
      </w:r>
      <w:r>
        <w:t xml:space="preserve"> Bacterial dysbiosis index (Bray-Curtis displacement from ground centroid); elevated under flight.*</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ITS.png"/>
                    <pic:cNvPicPr/>
                  </pic:nvPicPr>
                  <pic:blipFill>
                    <a:blip r:embed="rId11"/>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(p &lt; 0.05 and |effect| &gt; 1). In leaf 16S, </w:t>
      </w:r>
      <w:r>
        <w:rPr>
          <w:i/>
        </w:rPr>
        <w:t>Pantoea</w:t>
      </w:r>
      <w:r>
        <w:t xml:space="preserve"> (ASV024) was significantly depleted in flight (effect=−1.10). In ITS, </w:t>
      </w:r>
      <w:r>
        <w:rPr>
          <w:i/>
        </w:rPr>
        <w:t>Penicillium citrinum</w:t>
      </w:r>
      <w:r>
        <w:t xml:space="preserve"> (ASV003) was significantly depleted in flight leaves (effect=−1.82). In adventitious roots, </w:t>
      </w:r>
      <w:r>
        <w:rPr>
          <w:i/>
        </w:rPr>
        <w:t>Fusarium solani</w:t>
      </w:r>
      <w:r>
        <w:t xml:space="preserve"> was significantly depleted in flight (effect=−1.82).</w:t>
      </w:r>
    </w:p>
    <w:p>
      <w:pPr>
        <w:pStyle w:val="Heading2"/>
      </w:pPr>
      <w:r>
        <w:t>Spaceflight transcriptional response is light-dependent</w:t>
      </w:r>
    </w:p>
    <w:p>
      <w:r>
        <w:t>DESeq2 analysis revealed a pronounced interaction between spaceflight and light quality (Table S2). In leaves, the main flight effect comprised 757 DEGs (404 up, 353 down), but the flight effect under blue light was nearly 9-fold larger (4,716 DEGs) than under red light (523 DEGs). The formal interaction term identified 3,189 DEGs, confirming that the transcriptional response to spaceflight is strongly modulated by light quality.</w:t>
      </w:r>
    </w:p>
    <w:p>
      <w:r>
        <w:t>In adventitious roots, the flight response was predominantly upregulation (896 DEGs: 783 up, 113 down, 87% upregulated),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4" name="Picture 4"/>
            <wp:cNvGraphicFramePr>
              <a:graphicFrameLocks noChangeAspect="1"/>
            </wp:cNvGraphicFramePr>
            <a:graphic>
              <a:graphicData uri="http://schemas.openxmlformats.org/drawingml/2006/picture">
                <pic:pic>
                  <pic:nvPicPr>
                    <pic:cNvPr id="0" name="fig3_deg_summary.png"/>
                    <pic:cNvPicPr/>
                  </pic:nvPicPr>
                  <pic:blipFill>
                    <a:blip r:embed="rId12"/>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5" name="Picture 5"/>
            <wp:cNvGraphicFramePr>
              <a:graphicFrameLocks noChangeAspect="1"/>
            </wp:cNvGraphicFramePr>
            <a:graphic>
              <a:graphicData uri="http://schemas.openxmlformats.org/drawingml/2006/picture">
                <pic:pic>
                  <pic:nvPicPr>
                    <pic:cNvPr id="0" name="fig3b_volcano_leaf_flight.png"/>
                    <pic:cNvPicPr/>
                  </pic:nvPicPr>
                  <pic:blipFill>
                    <a:blip r:embed="rId13"/>
                    <a:stretch>
                      <a:fillRect/>
                    </a:stretch>
                  </pic:blipFill>
                  <pic:spPr>
                    <a:xfrm>
                      <a:off x="0" y="0"/>
                      <a:ext cx="5760720" cy="4937760"/>
                    </a:xfrm>
                    <a:prstGeom prst="rect"/>
                  </pic:spPr>
                </pic:pic>
              </a:graphicData>
            </a:graphic>
          </wp:inline>
        </w:drawing>
      </w:r>
    </w:p>
    <w:p>
      <w:r>
        <w:rPr>
          <w:b/>
        </w:rPr>
        <w:t>*Figure 3B.</w:t>
      </w:r>
      <w:r>
        <w:t xml:space="preserve"> Leaf Flight-vs-Ground volcano.*</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c_volcano_advroot_flight.png"/>
                    <pic:cNvPicPr/>
                  </pic:nvPicPr>
                  <pic:blipFill>
                    <a:blip r:embed="rId14"/>
                    <a:stretch>
                      <a:fillRect/>
                    </a:stretch>
                  </pic:blipFill>
                  <pic:spPr>
                    <a:xfrm>
                      <a:off x="0" y="0"/>
                      <a:ext cx="5760720" cy="4937760"/>
                    </a:xfrm>
                    <a:prstGeom prst="rect"/>
                  </pic:spPr>
                </pic:pic>
              </a:graphicData>
            </a:graphic>
          </wp:inline>
        </w:drawing>
      </w:r>
    </w:p>
    <w:p>
      <w:r>
        <w:rPr>
          <w:b/>
        </w:rPr>
        <w:t>*Figure 3C.</w:t>
      </w:r>
      <w:r>
        <w:t xml:space="preserve"> Adventitious-root Flight-vs-Ground volcano (predominantly upregulation).*</w:t>
      </w:r>
    </w:p>
    <w:p>
      <w:pPr>
        <w:pStyle w:val="Heading2"/>
      </w:pPr>
      <w:r>
        <w:t>WGCNA identifies a microbe-driven host transcriptional module</w:t>
      </w:r>
    </w:p>
    <w:p>
      <w:r>
        <w:t>WGCNA of the leaf transcriptome identified 13 modules (power=20),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w:t>
      </w:r>
    </w:p>
    <w:p>
      <w:r>
        <w:t>In adventitious roots, WGCNA identified 17 modules (power=18). The key finding was the black module (n=169 genes), which was strongly correlated with ITS dysbiosis (r=−0.85, padj=0.001) but not with flight status (r=−0.38, p=0.32). This module was classified as microbe-driven, representing a host transcriptional response to fungal community changes that is independent of the direct spaceflight stimulus. GO enrichment of this module revealed enrichment for oxidative stress response genes, including peroxidase activity and hydrogen peroxide catabolism.</w:t>
      </w:r>
    </w:p>
    <w:p>
      <w:r>
        <w:t>GO enrichment analysis of all modules revealed biologically coherent functional signatures.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4800600"/>
            <wp:docPr id="7" name="Picture 7"/>
            <wp:cNvGraphicFramePr>
              <a:graphicFrameLocks noChangeAspect="1"/>
            </wp:cNvGraphicFramePr>
            <a:graphic>
              <a:graphicData uri="http://schemas.openxmlformats.org/drawingml/2006/picture">
                <pic:pic>
                  <pic:nvPicPr>
                    <pic:cNvPr id="0" name="fig4_module_traits_Leaf.png"/>
                    <pic:cNvPicPr/>
                  </pic:nvPicPr>
                  <pic:blipFill>
                    <a:blip r:embed="rId15"/>
                    <a:stretch>
                      <a:fillRect/>
                    </a:stretch>
                  </pic:blipFill>
                  <pic:spPr>
                    <a:xfrm>
                      <a:off x="0" y="0"/>
                      <a:ext cx="5760720" cy="4800600"/>
                    </a:xfrm>
                    <a:prstGeom prst="rect"/>
                  </pic:spPr>
                </pic:pic>
              </a:graphicData>
            </a:graphic>
          </wp:inline>
        </w:drawing>
      </w:r>
    </w:p>
    <w:p>
      <w:r>
        <w:rPr>
          <w:b/>
        </w:rPr>
        <w:t>*Figure 4 (Leaf).</w:t>
      </w:r>
      <w:r>
        <w:t xml:space="preserve"> WGCNA module–trait correlations (flight, light, 16S/ITS dysbiosis).*</w:t>
      </w:r>
    </w:p>
    <w:p>
      <w:pPr>
        <w:jc w:val="center"/>
      </w:pPr>
      <w:r>
        <w:drawing>
          <wp:inline xmlns:a="http://schemas.openxmlformats.org/drawingml/2006/main" xmlns:pic="http://schemas.openxmlformats.org/drawingml/2006/picture">
            <wp:extent cx="5760720" cy="6144768"/>
            <wp:docPr id="8" name="Picture 8"/>
            <wp:cNvGraphicFramePr>
              <a:graphicFrameLocks noChangeAspect="1"/>
            </wp:cNvGraphicFramePr>
            <a:graphic>
              <a:graphicData uri="http://schemas.openxmlformats.org/drawingml/2006/picture">
                <pic:pic>
                  <pic:nvPicPr>
                    <pic:cNvPr id="0" name="fig4_module_traits_AdvRoot.png"/>
                    <pic:cNvPicPr/>
                  </pic:nvPicPr>
                  <pic:blipFill>
                    <a:blip r:embed="rId16"/>
                    <a:stretch>
                      <a:fillRect/>
                    </a:stretch>
                  </pic:blipFill>
                  <pic:spPr>
                    <a:xfrm>
                      <a:off x="0" y="0"/>
                      <a:ext cx="5760720" cy="6144768"/>
                    </a:xfrm>
                    <a:prstGeom prst="rect"/>
                  </pic:spPr>
                </pic:pic>
              </a:graphicData>
            </a:graphic>
          </wp:inline>
        </w:drawing>
      </w:r>
    </w:p>
    <w:p>
      <w:r>
        <w:rPr>
          <w:b/>
        </w:rPr>
        <w:t>*Figure 4 (Adv-Root).</w:t>
      </w:r>
      <w:r>
        <w:t xml:space="preserve"> Module–trait correlations; the black module tracks ITS dysbiosis (r=−0.85) but not flight.*</w:t>
      </w:r>
    </w:p>
    <w:p>
      <w:pPr>
        <w:pStyle w:val="Heading2"/>
      </w:pPr>
      <w:r>
        <w:t>MOFA+ confirms dominant flight factor and cross-omics coordination</w:t>
      </w:r>
    </w:p>
    <w:p>
      <w:r>
        <w:t>MOFA+ integration of 21 matched leaf samples across three omics views (transcriptome: 2,000 genes; 16S: 348 ASVs; ITS: 77 ASVs) identified 5 factors. Factor 1 was the dominant signal, explaining 48.0% of transcriptome variance, 12.0% of 16S variance, and 3.0% of ITS variance. Factor 1 was significantly correlated with flight status (Spearman ρ=−0.76, padj=0.001),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ig5a_mofa_variance.png"/>
                    <pic:cNvPicPr/>
                  </pic:nvPicPr>
                  <pic:blipFill>
                    <a:blip r:embed="rId17"/>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0" name="Picture 10"/>
            <wp:cNvGraphicFramePr>
              <a:graphicFrameLocks noChangeAspect="1"/>
            </wp:cNvGraphicFramePr>
            <a:graphic>
              <a:graphicData uri="http://schemas.openxmlformats.org/drawingml/2006/picture">
                <pic:pic>
                  <pic:nvPicPr>
                    <pic:cNvPr id="0" name="fig5b_mofa_correlations.png"/>
                    <pic:cNvPicPr/>
                  </pic:nvPicPr>
                  <pic:blipFill>
                    <a:blip r:embed="rId18"/>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(ρ=−0.76).*</w:t>
      </w:r>
    </w:p>
    <w:p>
      <w:pPr>
        <w:pStyle w:val="Heading2"/>
      </w:pPr>
      <w:r>
        <w:t>Module-taxon correlations link host modules to specific bacteria</w:t>
      </w:r>
    </w:p>
    <w:p>
      <w:r>
        <w:t xml:space="preserve">Bipartite correlation networks identified 29 significant module-taxon relationships (BH padj &lt; 0.05), predominantly in leaf 16S (28 of 29). The flight-associated turquoise module positively correlated with </w:t>
      </w:r>
      <w:r>
        <w:rPr>
          <w:i/>
        </w:rPr>
        <w:t>Methylobacterium-Methylorubrum</w:t>
      </w:r>
      <w:r>
        <w:t xml:space="preserve"> (ρ=+0.76, padj=0.001),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608576"/>
            <wp:docPr id="11" name="Picture 11"/>
            <wp:cNvGraphicFramePr>
              <a:graphicFrameLocks noChangeAspect="1"/>
            </wp:cNvGraphicFramePr>
            <a:graphic>
              <a:graphicData uri="http://schemas.openxmlformats.org/drawingml/2006/picture">
                <pic:pic>
                  <pic:nvPicPr>
                    <pic:cNvPr id="0" name="fig6_module_taxon_network.png"/>
                    <pic:cNvPicPr/>
                  </pic:nvPicPr>
                  <pic:blipFill>
                    <a:blip r:embed="rId19"/>
                    <a:stretch>
                      <a:fillRect/>
                    </a:stretch>
                  </pic:blipFill>
                  <pic:spPr>
                    <a:xfrm>
                      <a:off x="0" y="0"/>
                      <a:ext cx="5760720" cy="4608576"/>
                    </a:xfrm>
                    <a:prstGeom prst="rect"/>
                  </pic:spPr>
                </pic:pic>
              </a:graphicData>
            </a:graphic>
          </wp:inline>
        </w:drawing>
      </w:r>
    </w:p>
    <w:p>
      <w:r>
        <w:rPr>
          <w:b/>
        </w:rPr>
        <w:t>*Figure 6.</w:t>
      </w:r>
      <w:r>
        <w:t xml:space="preserve"> Bipartite module–taxon network linking flight-associated modules to Methylobacterium, Burkholderia, Azospirillum.*</w:t>
      </w:r>
    </w:p>
    <w:p>
      <w:pPr>
        <w:pStyle w:val="Heading2"/>
      </w:pPr>
      <w:r>
        <w:t>Functional prediction reveals nitrogen cycling and methanotrophy</w:t>
      </w:r>
    </w:p>
    <w:p>
      <w:r>
        <w:t xml:space="preserve">FAPROTAX assigned 239 of 348 bacterial ASVs to 29 functional categories. The dominant predicted functions were aerobic chemoheterotrophy (787,792 reads, 185 taxa), nitrogen fixation (164,614 reads, 12 taxa), methanotrophy (96,514 reads, 15 taxa), and methanol oxidation (96,687 reads, 15 taxa). The methanotrophy and methanol oxidation functions were primarily associated with </w:t>
      </w:r>
      <w:r>
        <w:rPr>
          <w:i/>
        </w:rPr>
        <w:t>Methylobacterium-Methylorubrum</w:t>
      </w:r>
      <w:r>
        <w:t>, the same genus showing the strongest positive correlation with the flight-associated WGCNA module.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w:t>
      </w:r>
    </w:p>
    <w:p>
      <w:pPr>
        <w:jc w:val="center"/>
      </w:pPr>
      <w:r>
        <w:drawing>
          <wp:inline xmlns:a="http://schemas.openxmlformats.org/drawingml/2006/main" xmlns:pic="http://schemas.openxmlformats.org/drawingml/2006/picture">
            <wp:extent cx="5760720" cy="4320540"/>
            <wp:docPr id="12" name="Picture 12"/>
            <wp:cNvGraphicFramePr>
              <a:graphicFrameLocks noChangeAspect="1"/>
            </wp:cNvGraphicFramePr>
            <a:graphic>
              <a:graphicData uri="http://schemas.openxmlformats.org/drawingml/2006/picture">
                <pic:pic>
                  <pic:nvPicPr>
                    <pic:cNvPr id="0" name="fig7_faprotax.png"/>
                    <pic:cNvPicPr/>
                  </pic:nvPicPr>
                  <pic:blipFill>
                    <a:blip r:embed="rId20"/>
                    <a:stretch>
                      <a:fillRect/>
                    </a:stretch>
                  </pic:blipFill>
                  <pic:spPr>
                    <a:xfrm>
                      <a:off x="0" y="0"/>
                      <a:ext cx="5760720" cy="4320540"/>
                    </a:xfrm>
                    <a:prstGeom prst="rect"/>
                  </pic:spPr>
                </pic:pic>
              </a:graphicData>
            </a:graphic>
          </wp:inline>
        </w:drawing>
      </w:r>
    </w:p>
    <w:p>
      <w:r>
        <w:rPr>
          <w:b/>
        </w:rPr>
        <w:t>*Figure 7.</w:t>
      </w:r>
      <w:r>
        <w:t xml:space="preserve"> FAPROTAX predicted bacterial functions (aerobic chemoheterotrophy, N fixation, methanotrophy, methanol oxidation).*</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p=0.32) indicates that the host transcriptional response in this module is driven by microbial community changes rather than directly by the spaceflight environment. The enrichment of oxidative stress genes in this module suggests that fungal community restructuring may trigger host defense responses, potentially through oxidative burst signaling.</w:t>
      </w:r>
    </w:p>
    <w:p>
      <w:pPr>
        <w:pStyle w:val="Heading2"/>
      </w:pPr>
      <w:r>
        <w:t>Limitations</w:t>
      </w:r>
    </w:p>
    <w:p>
      <w:r>
        <w:t>Several limitations should be noted. First, sample sizes are small (n=21 leaf, n=15 root for RNA-seq; n=9–12 per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(Bray-Curtis displacement from ground centroid);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w:t>
      </w:r>
    </w:p>
    <w:p>
      <w:pPr>
        <w:pStyle w:val="ListBullet"/>
      </w:pPr>
      <w:r>
        <w:rPr>
          <w:b/>
        </w:rPr>
        <w:t>Figure 3C.</w:t>
      </w:r>
      <w:r>
        <w:t xml:space="preserve"> Adventitious-root Flight-vs-Ground volcano (predominantly upregulation).</w:t>
      </w:r>
    </w:p>
    <w:p>
      <w:pPr>
        <w:pStyle w:val="ListBullet"/>
      </w:pPr>
      <w:r>
        <w:rPr>
          <w:b/>
        </w:rPr>
        <w:t>Figure 4 (Leaf).</w:t>
      </w:r>
      <w:r>
        <w:t xml:space="preserve"> WGCNA module–trait correlations (flight, light, 16S/ITS dysbiosis).</w:t>
      </w:r>
    </w:p>
    <w:p>
      <w:pPr>
        <w:pStyle w:val="ListBullet"/>
      </w:pPr>
      <w:r>
        <w:rPr>
          <w:b/>
        </w:rPr>
        <w:t>Figure 4 (Adv-Root).</w:t>
      </w:r>
      <w:r>
        <w:t xml:space="preserve"> Module–trait correlations; the black module tracks ITS dysbiosis (r=−0.85) but not flight.</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Bipartite module–taxon network linking flight-associated modules to Methylobacterium, Burkholderia, Azospirillum.</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Structuring and function of the root microbiota in health and disease. </w:t>
      </w:r>
      <w:r>
        <w:rPr>
          <w:i/>
        </w:rPr>
        <w:t>Annu. Rev. Plant Biol.</w:t>
      </w:r>
      <w:r>
        <w:t xml:space="preserve"> 64, 807–838 (2013).</w:t>
      </w:r>
    </w:p>
    <w:p>
      <w:r>
        <w:t xml:space="preserve">[2] Wheeler, R.M. et al. Crop production for space life support: a review. </w:t>
      </w:r>
      <w:r>
        <w:rPr>
          <w:i/>
        </w:rPr>
        <w:t>Adv. Space Res.</w:t>
      </w:r>
      <w:r>
        <w:t xml:space="preserve"> 41, 1057–1066 (2008).</w:t>
      </w:r>
    </w:p>
    <w:p>
      <w:r>
        <w:t xml:space="preserve">[3] Massa, G.D. et al. VEG-05: Plant habitat-02 tomato plant growth in the vegetable production system on the ISS. </w:t>
      </w:r>
      <w:r>
        <w:rPr>
          <w:i/>
        </w:rPr>
        <w:t>NASA Technical Report</w:t>
      </w:r>
      <w:r>
        <w:t xml:space="preserve"> (2024).</w:t>
      </w:r>
    </w:p>
    <w:p>
      <w:r>
        <w:t xml:space="preserve">[4] Rosenzweig, J.A. et al. Spaceflight and model microorganisms. </w:t>
      </w:r>
      <w:r>
        <w:rPr>
          <w:i/>
        </w:rPr>
        <w:t>npj Microgravity</w:t>
      </w:r>
      <w:r>
        <w:t xml:space="preserve"> 1, 15009 (2015).</w:t>
      </w:r>
    </w:p>
    <w:p>
      <w:r>
        <w:t xml:space="preserve">[5] Voorhies, A.A. et al. Spaceflight alters bacterial gene expression and virulence. </w:t>
      </w:r>
      <w:r>
        <w:rPr>
          <w:i/>
        </w:rPr>
        <w:t>PLoS ONE</w:t>
      </w:r>
      <w:r>
        <w:t xml:space="preserve"> 14, e0224893 (2019).</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fungi. </w:t>
      </w:r>
      <w:r>
        <w:rPr>
          <w:i/>
        </w:rPr>
        <w:t>Oikos</w:t>
      </w:r>
      <w:r>
        <w:t xml:space="preserve"> 112, 182–186 (2005).</w:t>
      </w:r>
    </w:p>
    <w:p>
      <w:r>
        <w:t xml:space="preserve">[12] Love, M.I. et al. Moderated estimation of fold change and dispersion for RNA-seq data with DESeq2. </w:t>
      </w:r>
      <w:r>
        <w:rPr>
          <w:i/>
        </w:rPr>
        <w:t>Genome Biol.</w:t>
      </w:r>
      <w:r>
        <w:t xml:space="preserve"> 15, 550 (2014).</w:t>
      </w:r>
    </w:p>
    <w:p>
      <w:r>
        <w:t xml:space="preserve">[13] Zhu, A. et al. Heavy-tailed prior distributions for sequence count data: removing the bias and dissecting the controversy. </w:t>
      </w:r>
      <w:r>
        <w:rPr>
          <w:i/>
        </w:rPr>
        <w:t>Genome Biol.</w:t>
      </w:r>
      <w:r>
        <w:t xml:space="preserve"> 20, 139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(2024).</w:t>
      </w:r>
    </w:p>
    <w:p>
      <w:r>
        <w:t xml:space="preserve">[17] Fernandes, A.D. et al. Unifying the analysis of high-throughput sequencing data: comparing RNA-Seq and chip-Seq data. </w:t>
      </w:r>
      <w:r>
        <w:rPr>
          <w:i/>
        </w:rPr>
        <w:t>PLoS ONE</w:t>
      </w:r>
      <w:r>
        <w:t xml:space="preserve"> 8, e67023 (2013).</w:t>
      </w:r>
    </w:p>
    <w:p>
      <w:r>
        <w:t xml:space="preserve">[18] Yu, G. et al. clusterProfiler: an R package for comparing biological themes among gene clusters. </w:t>
      </w:r>
      <w:r>
        <w:rPr>
          <w:i/>
        </w:rPr>
        <w:t>OMICS</w:t>
      </w:r>
      <w:r>
        <w:t xml:space="preserve"> 16, 284–287 (2012).</w:t>
      </w:r>
    </w:p>
    <w:p>
      <w:r>
        <w:t xml:space="preserve">[19] Louca, S. et al. FAPROTAX: a functional annotation of prokaryotic taxa. </w:t>
      </w:r>
      <w:r>
        <w:rPr>
          <w:i/>
        </w:rPr>
        <w:t>Nat. Commun.</w:t>
      </w:r>
      <w:r>
        <w:t xml:space="preserve"> 7, 12428 (2016).</w:t>
      </w:r>
    </w:p>
    <w:p>
      <w:r>
        <w:t xml:space="preserve">[20] Nguyen, N.H. et al. FUNGuild: an open annotation tool for parsing fungal community datasets. </w:t>
      </w:r>
      <w:r>
        <w:rPr>
          <w:i/>
        </w:rPr>
        <w:t>Fungal Ecol.</w:t>
      </w:r>
      <w:r>
        <w:t xml:space="preserve"> 20, 241–248 (2016).</w:t>
      </w:r>
    </w:p>
    <w:p>
      <w:r>
        <w:t xml:space="preserve">[21] Voorhies, A.A. et al. Study of the impact of long-duration spaceflight on the astronaut microbiome. </w:t>
      </w:r>
      <w:r>
        <w:rPr>
          <w:i/>
        </w:rPr>
        <w:t>Sci. Rep.</w:t>
      </w:r>
      <w:r>
        <w:t xml:space="preserve"> 9, 9911 (2019).</w:t>
      </w:r>
    </w:p>
    <w:p>
      <w:r>
        <w:t xml:space="preserve">[22] Chaves, I. et al. The cryptochromes: blue light receptors in plants and animals. </w:t>
      </w:r>
      <w:r>
        <w:rPr>
          <w:i/>
        </w:rPr>
        <w:t>Annu. Rev. Plant Biol.</w:t>
      </w:r>
      <w:r>
        <w:t xml:space="preserve"> 62, 335–364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