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In leaves, bacterial alpha diversity was higher in flight samples: Observed ASVs ranged from 17.8–25.8 in flight versus 10.0–15.2 in ground controls (Fig. 2A).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2a_alpha_diversity_16S.png"/>
                    <pic:cNvPicPr/>
                  </pic:nvPicPr>
                  <pic:blipFill>
                    <a:blip r:embed="rId9"/>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2" name="Picture 2"/>
            <wp:cNvGraphicFramePr>
              <a:graphicFrameLocks noChangeAspect="1"/>
            </wp:cNvGraphicFramePr>
            <a:graphic>
              <a:graphicData uri="http://schemas.openxmlformats.org/drawingml/2006/picture">
                <pic:pic>
                  <pic:nvPicPr>
                    <pic:cNvPr id="0" name="fig2b_dysbiosis_16S.png"/>
                    <pic:cNvPicPr/>
                  </pic:nvPicPr>
                  <pic:blipFill>
                    <a:blip r:embed="rId10"/>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ITS.png"/>
                    <pic:cNvPicPr/>
                  </pic:nvPicPr>
                  <pic:blipFill>
                    <a:blip r:embed="rId11"/>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Fig. 3B), but the flight effect under blue light was nearly 9-fold larger (4,716 DEGs) than under red light (523 DEGs) (Fig. 3). The formal interaction term identified 3,189 DEGs, confirming that the transcriptional response to spaceflight is strongly modulated by light quality.</w:t>
      </w:r>
    </w:p>
    <w:p>
      <w:r>
        <w:t>In adventitious roots, the flight response was predominantly upregulation (896 DEGs: 783 up, 113 down, 87%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fig3_deg_summary.png"/>
                    <pic:cNvPicPr/>
                  </pic:nvPicPr>
                  <pic:blipFill>
                    <a:blip r:embed="rId12"/>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5" name="Picture 5"/>
            <wp:cNvGraphicFramePr>
              <a:graphicFrameLocks noChangeAspect="1"/>
            </wp:cNvGraphicFramePr>
            <a:graphic>
              <a:graphicData uri="http://schemas.openxmlformats.org/drawingml/2006/picture">
                <pic:pic>
                  <pic:nvPicPr>
                    <pic:cNvPr id="0" name="fig3b_volcano_leaf_flight.png"/>
                    <pic:cNvPicPr/>
                  </pic:nvPicPr>
                  <pic:blipFill>
                    <a:blip r:embed="rId13"/>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c_volcano_advroot_flight.png"/>
                    <pic:cNvPicPr/>
                  </pic:nvPicPr>
                  <pic:blipFill>
                    <a:blip r:embed="rId14"/>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7567"/>
            <wp:docPr id="7" name="Picture 7"/>
            <wp:cNvGraphicFramePr>
              <a:graphicFrameLocks noChangeAspect="1"/>
            </wp:cNvGraphicFramePr>
            <a:graphic>
              <a:graphicData uri="http://schemas.openxmlformats.org/drawingml/2006/picture">
                <pic:pic>
                  <pic:nvPicPr>
                    <pic:cNvPr id="0" name="fig4_module_traits_Leaf.png"/>
                    <pic:cNvPicPr/>
                  </pic:nvPicPr>
                  <pic:blipFill>
                    <a:blip r:embed="rId15"/>
                    <a:stretch>
                      <a:fillRect/>
                    </a:stretch>
                  </pic:blipFill>
                  <pic:spPr>
                    <a:xfrm>
                      <a:off x="0" y="0"/>
                      <a:ext cx="5760720" cy="6887567"/>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Spearman rho with significance stars.*</w:t>
      </w:r>
    </w:p>
    <w:p>
      <w:pPr>
        <w:jc w:val="center"/>
      </w:pPr>
      <w:r>
        <w:drawing>
          <wp:inline xmlns:a="http://schemas.openxmlformats.org/drawingml/2006/main" xmlns:pic="http://schemas.openxmlformats.org/drawingml/2006/picture">
            <wp:extent cx="5010317" cy="7498079"/>
            <wp:docPr id="8" name="Picture 8"/>
            <wp:cNvGraphicFramePr>
              <a:graphicFrameLocks noChangeAspect="1"/>
            </wp:cNvGraphicFramePr>
            <a:graphic>
              <a:graphicData uri="http://schemas.openxmlformats.org/drawingml/2006/picture">
                <pic:pic>
                  <pic:nvPicPr>
                    <pic:cNvPr id="0" name="fig4_module_traits_AdvRoot.png"/>
                    <pic:cNvPicPr/>
                  </pic:nvPicPr>
                  <pic:blipFill>
                    <a:blip r:embed="rId16"/>
                    <a:stretch>
                      <a:fillRect/>
                    </a:stretch>
                  </pic:blipFill>
                  <pic:spPr>
                    <a:xfrm>
                      <a:off x="0" y="0"/>
                      <a:ext cx="5010317"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(Fig. 5A). Factor 1 was significantly correlated with flight status (Spearman ρ=−0.76, padj=0.001; Fig. 5B),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5a_mofa_variance.png"/>
                    <pic:cNvPicPr/>
                  </pic:nvPicPr>
                  <pic:blipFill>
                    <a:blip r:embed="rId17"/>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0" name="Picture 10"/>
            <wp:cNvGraphicFramePr>
              <a:graphicFrameLocks noChangeAspect="1"/>
            </wp:cNvGraphicFramePr>
            <a:graphic>
              <a:graphicData uri="http://schemas.openxmlformats.org/drawingml/2006/picture">
                <pic:pic>
                  <pic:nvPicPr>
                    <pic:cNvPr id="0" name="fig5b_mofa_correlations.png"/>
                    <pic:cNvPicPr/>
                  </pic:nvPicPr>
                  <pic:blipFill>
                    <a:blip r:embed="rId18"/>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Fig. 6).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31368"/>
            <wp:docPr id="11" name="Picture 11"/>
            <wp:cNvGraphicFramePr>
              <a:graphicFrameLocks noChangeAspect="1"/>
            </wp:cNvGraphicFramePr>
            <a:graphic>
              <a:graphicData uri="http://schemas.openxmlformats.org/drawingml/2006/picture">
                <pic:pic>
                  <pic:nvPicPr>
                    <pic:cNvPr id="0" name="fig6_module_taxon_network.png"/>
                    <pic:cNvPicPr/>
                  </pic:nvPicPr>
                  <pic:blipFill>
                    <a:blip r:embed="rId19"/>
                    <a:stretch>
                      <a:fillRect/>
                    </a:stretch>
                  </pic:blipFill>
                  <pic:spPr>
                    <a:xfrm>
                      <a:off x="0" y="0"/>
                      <a:ext cx="5760720" cy="4531368"/>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Functional prediction reveals nitrogen cycling and methanotrophy</w:t>
      </w:r>
    </w:p>
    <w:p>
      <w:r>
        <w:t xml:space="preserve">FAPROTAX assigned 239 of 348 bacterial ASVs to 29 functional categories. The dominant predicted functions were aerobic chemoheterotrophy (787,792 reads, 185 taxa), nitrogen fixation (164,614 reads, 12 taxa), methanotrophy (96,514 reads, 15 taxa), and methanol oxidation (96,687 reads, 15 taxa) (Fig. 7).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w:t>
      </w:r>
    </w:p>
    <w:p>
      <w:pPr>
        <w:jc w:val="center"/>
      </w:pPr>
      <w:r>
        <w:drawing>
          <wp:inline xmlns:a="http://schemas.openxmlformats.org/drawingml/2006/main" xmlns:pic="http://schemas.openxmlformats.org/drawingml/2006/picture">
            <wp:extent cx="5760720" cy="4320540"/>
            <wp:docPr id="12" name="Picture 12"/>
            <wp:cNvGraphicFramePr>
              <a:graphicFrameLocks noChangeAspect="1"/>
            </wp:cNvGraphicFramePr>
            <a:graphic>
              <a:graphicData uri="http://schemas.openxmlformats.org/drawingml/2006/picture">
                <pic:pic>
                  <pic:nvPicPr>
                    <pic:cNvPr id="0" name="fig7_faprotax.png"/>
                    <pic:cNvPicPr/>
                  </pic:nvPicPr>
                  <pic:blipFill>
                    <a:blip r:embed="rId20"/>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 Each module is labelled with its dominant GO biology (Table 1); cells show Spearman rho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