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 vs. blue). DADA2 processing yielded 348 bacterial and 77 fungal ASVs from 142 and 141 samples respectively. Spaceflight significantly reshaped leaf bacterial communities (PERMANOVA R²=0.42, p=0.001) and increased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padj=0.001) but not with flight status (r=−0.38, p=0.32), representing a microbe-driven host transcriptional signature independent of the direct spaceflight stimulus. MOFA+ integration across three omics layers confirmed a dominant flight-associated factor (48% transcriptome variance) and revealed that the leaf bacterial community was more responsive to spaceflight than the fungal community. FAPROTAX functional prediction identified nitrogen fixation, methanotrophy, and methanol oxidation as enriched functions in the bacterial community.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and OSD-767 (host RNA-seq). The VEG-05 experiment grew tomato cv. Red Robin aboard the ISS under red or blue LED lighting, with ground controls at Kennedy Space Center. Metadata were parsed from ISA-Tab format, and a crosswalk table linking microbiome and RNA-seq samples by plant ID, flight status, light treatment, and tissue was constructed.</w:t>
      </w:r>
    </w:p>
    <w:p>
      <w:pPr>
        <w:pStyle w:val="Heading2"/>
      </w:pPr>
      <w:r>
        <w:t>Microbiome amplicon processing</w:t>
      </w:r>
    </w:p>
    <w:p>
      <w:r>
        <w:t>16S rRNA (V4 region, 515F/806R primers) and ITS2 (ITS3F/ITS4 primers) reads were processed using DADA2 v1.34.0 [8] in R. For 16S, primers were already removed; reads were truncated at 240 bp (R1) and 160 bp (R2) with maxEE=2, length-filtered to 200–260 bp, and pooled for denoising. Taxonomy was assigned against SILVA 138.2 [9]. Chloroplast and mitochondrial ASVs were removed prior to community analysis. For ITS, primers were removed with cutadapt [10]; R2 reads were truncated at 180 bp due to quality degradation; taxonomy was assigned against UNITE v7 (October 2017) [11].</w:t>
      </w:r>
    </w:p>
    <w:p>
      <w:pPr>
        <w:pStyle w:val="Heading2"/>
      </w:pPr>
      <w:r>
        <w:t>Differential expression analysis</w:t>
      </w:r>
    </w:p>
    <w:p>
      <w:r>
        <w:t>RNA-seq count matrices were analyzed with DESeq2 [12] separately for leaf (21 samples) and adventitious root (15 samples). The design model included flight status, light treatment, and their interaction. Log-fold changes were shrunk with apeglm [13] for main effects and ashr [14] for subset contrasts.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using vegan [16]. A dysbiosis index was calculated as the Bray-Curtis distance of each flight sample to the centroid of its corresponding ground control group, normalized by the mean ground-ground distance. Differential abundance testing used ALDEx2 [17] with 128 Monte Carlo instances, requiring both Welch p &lt; 0.05 and |effect size| &gt; 1.</w:t>
      </w:r>
    </w:p>
    <w:p>
      <w:pPr>
        <w:pStyle w:val="Heading2"/>
      </w:pPr>
      <w:r>
        <w:t>WGCNA co-expression networks</w:t>
      </w:r>
    </w:p>
    <w:p>
      <w:r>
        <w:t>WGCNA [7] was applied to variance-stabilized transcriptome data for each tissue separately. Soft-thresholding powers were selected to maximize scale-free fit (Leaf: power=20, R²=0.72; Adv-Root: power=18, R²=0.69). Module eigengenes were correlated with flight status, light treatment, and 16S/ITS dysbiosis indices. Hub genes were identified by module membership (kME &gt; 0.8).</w:t>
      </w:r>
    </w:p>
    <w:p>
      <w:pPr>
        <w:pStyle w:val="Heading2"/>
      </w:pPr>
      <w:r>
        <w:t>MOFA+ multi-omics integration</w:t>
      </w:r>
    </w:p>
    <w:p>
      <w:r>
        <w:t>MOFA2 [6] was trained on 21 leaf samples with matched data across three views: transcriptome (2,000 most variable genes), 16S (348 ASVs), and ITS (77 ASVs). The model was trained with 5 factors and default priors. Factor-trait correlations were computed using Spearman's rank correlation with BH correction.</w:t>
      </w:r>
    </w:p>
    <w:p>
      <w:pPr>
        <w:pStyle w:val="Heading2"/>
      </w:pPr>
      <w:r>
        <w:t>Correlation networks and directionality inference</w:t>
      </w:r>
    </w:p>
    <w:p>
      <w:r>
        <w:t>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(18,479 annotated genes).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using FAPROTAX v1.2 [19] with a custom Python implementation of the collapse algorithm. Fungal ecological guilds were assigned using genus-level lookup tables based on FUNGuild [20] categories.</w:t>
      </w:r>
    </w:p>
    <w:p>
      <w:pPr>
        <w:pStyle w:val="Heading2"/>
      </w:pPr>
      <w:r>
        <w:t>Data and code availability</w:t>
      </w:r>
    </w:p>
    <w:p>
      <w:r>
        <w:t>All analysis code is available at [GitHub repository URL].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77 fungal ASVs from 141 samples (160,316 reads, 15.8% retention).</w:t>
      </w:r>
    </w:p>
    <w:p>
      <w:r>
        <w:t>Spaceflight significantly altered leaf bacterial community composition (PERMANOVA: R²=0.42, F=4.02, p=0.001, n=21) and adventitious root communities (R²=0.33, F=2.93, p=0.001, n=15). In leaves, bacterial alpha diversity was higher in flight samples: Observed ASVs ranged from 17.8–25.8 in flight versus 10.0–15.2 in ground controls (Fig. 2A).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fig2a_alpha_diversity_16S.png"/>
                    <pic:cNvPicPr/>
                  </pic:nvPicPr>
                  <pic:blipFill>
                    <a:blip r:embed="rId9"/>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3.64 ± 2.78 vs. 1.00 ± 0.24), though the PERMANOVA was marginally significant (R²=0.45, p=0.054). Adventitious root fungal communities were significantly reshaped (R²=0.65, F=8.19, p=0.001).</w:t>
      </w:r>
    </w:p>
    <w:p>
      <w:pPr>
        <w:jc w:val="center"/>
      </w:pPr>
      <w:r>
        <w:drawing>
          <wp:inline xmlns:a="http://schemas.openxmlformats.org/drawingml/2006/main" xmlns:pic="http://schemas.openxmlformats.org/drawingml/2006/picture">
            <wp:extent cx="5760720" cy="4800600"/>
            <wp:docPr id="2" name="Picture 2"/>
            <wp:cNvGraphicFramePr>
              <a:graphicFrameLocks noChangeAspect="1"/>
            </wp:cNvGraphicFramePr>
            <a:graphic>
              <a:graphicData uri="http://schemas.openxmlformats.org/drawingml/2006/picture">
                <pic:pic>
                  <pic:nvPicPr>
                    <pic:cNvPr id="0" name="fig2b_dysbiosis_16S.png"/>
                    <pic:cNvPicPr/>
                  </pic:nvPicPr>
                  <pic:blipFill>
                    <a:blip r:embed="rId10"/>
                    <a:stretch>
                      <a:fillRect/>
                    </a:stretch>
                  </pic:blipFill>
                  <pic:spPr>
                    <a:xfrm>
                      <a:off x="0" y="0"/>
                      <a:ext cx="5760720" cy="4800600"/>
                    </a:xfrm>
                    <a:prstGeom prst="rect"/>
                  </pic:spPr>
                </pic:pic>
              </a:graphicData>
            </a:graphic>
          </wp:inline>
        </w:drawing>
      </w:r>
    </w:p>
    <w:p>
      <w:r>
        <w:rPr>
          <w:b/>
        </w:rPr>
        <w:t>*Figure 2B (16S).</w:t>
      </w:r>
      <w:r>
        <w:t xml:space="preserve"> Bacterial dysbiosis index (Bray-Curtis displacement from ground centroid); elevated under flight.*</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ITS.png"/>
                    <pic:cNvPicPr/>
                  </pic:nvPicPr>
                  <pic:blipFill>
                    <a:blip r:embed="rId11"/>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(p &lt; 0.05 and |effect| &gt; 1). In leaf 16S, </w:t>
      </w:r>
      <w:r>
        <w:rPr>
          <w:i/>
        </w:rPr>
        <w:t>Pantoea</w:t>
      </w:r>
      <w:r>
        <w:t xml:space="preserve"> (ASV024) was significantly depleted in flight (effect=−1.10). In ITS, </w:t>
      </w:r>
      <w:r>
        <w:rPr>
          <w:i/>
        </w:rPr>
        <w:t>Penicillium citrinum</w:t>
      </w:r>
      <w:r>
        <w:t xml:space="preserve"> (ASV003) was significantly depleted in flight leaves (effect=−1.82). In adventitious roots, </w:t>
      </w:r>
      <w:r>
        <w:rPr>
          <w:i/>
        </w:rPr>
        <w:t>Fusarium solani</w:t>
      </w:r>
      <w:r>
        <w:t xml:space="preserve"> was significantly depleted in flight (effect=−1.82).</w:t>
      </w:r>
    </w:p>
    <w:p>
      <w:pPr>
        <w:pStyle w:val="Heading2"/>
      </w:pPr>
      <w:r>
        <w:t>Spaceflight transcriptional response is light-dependent</w:t>
      </w:r>
    </w:p>
    <w:p>
      <w:r>
        <w:t>DESeq2 analysis revealed a pronounced interaction between spaceflight and light quality (Table S2). In leaves, the main flight effect comprised 757 DEGs (404 up, 353 down), but the flight effect under blue light was nearly 9-fold larger (4,716 DEGs) than under red light (523 DEGs). The formal interaction term identified 3,189 DEGs, confirming that the transcriptional response to spaceflight is strongly modulated by light quality.</w:t>
      </w:r>
    </w:p>
    <w:p>
      <w:r>
        <w:t>In adventitious roots, the flight response was predominantly upregulation (896 DEGs: 783 up, 113 down, 87% upregulated),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4" name="Picture 4"/>
            <wp:cNvGraphicFramePr>
              <a:graphicFrameLocks noChangeAspect="1"/>
            </wp:cNvGraphicFramePr>
            <a:graphic>
              <a:graphicData uri="http://schemas.openxmlformats.org/drawingml/2006/picture">
                <pic:pic>
                  <pic:nvPicPr>
                    <pic:cNvPr id="0" name="fig3_deg_summary.png"/>
                    <pic:cNvPicPr/>
                  </pic:nvPicPr>
                  <pic:blipFill>
                    <a:blip r:embed="rId12"/>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5" name="Picture 5"/>
            <wp:cNvGraphicFramePr>
              <a:graphicFrameLocks noChangeAspect="1"/>
            </wp:cNvGraphicFramePr>
            <a:graphic>
              <a:graphicData uri="http://schemas.openxmlformats.org/drawingml/2006/picture">
                <pic:pic>
                  <pic:nvPicPr>
                    <pic:cNvPr id="0" name="fig3b_volcano_leaf_flight.png"/>
                    <pic:cNvPicPr/>
                  </pic:nvPicPr>
                  <pic:blipFill>
                    <a:blip r:embed="rId13"/>
                    <a:stretch>
                      <a:fillRect/>
                    </a:stretch>
                  </pic:blipFill>
                  <pic:spPr>
                    <a:xfrm>
                      <a:off x="0" y="0"/>
                      <a:ext cx="5760720" cy="4937760"/>
                    </a:xfrm>
                    <a:prstGeom prst="rect"/>
                  </pic:spPr>
                </pic:pic>
              </a:graphicData>
            </a:graphic>
          </wp:inline>
        </w:drawing>
      </w:r>
    </w:p>
    <w:p>
      <w:r>
        <w:rPr>
          <w:b/>
        </w:rPr>
        <w:t>*Figure 3B.</w:t>
      </w:r>
      <w:r>
        <w:t xml:space="preserve"> Leaf Flight-vs-Ground volcano.*</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c_volcano_advroot_flight.png"/>
                    <pic:cNvPicPr/>
                  </pic:nvPicPr>
                  <pic:blipFill>
                    <a:blip r:embed="rId14"/>
                    <a:stretch>
                      <a:fillRect/>
                    </a:stretch>
                  </pic:blipFill>
                  <pic:spPr>
                    <a:xfrm>
                      <a:off x="0" y="0"/>
                      <a:ext cx="5760720" cy="4937760"/>
                    </a:xfrm>
                    <a:prstGeom prst="rect"/>
                  </pic:spPr>
                </pic:pic>
              </a:graphicData>
            </a:graphic>
          </wp:inline>
        </w:drawing>
      </w:r>
    </w:p>
    <w:p>
      <w:r>
        <w:rPr>
          <w:b/>
        </w:rPr>
        <w:t>*Figure 3C.</w:t>
      </w:r>
      <w:r>
        <w:t xml:space="preserve"> Adventitious-root Flight-vs-Ground volcano (predominantly upregulation).*</w:t>
      </w:r>
    </w:p>
    <w:p>
      <w:pPr>
        <w:pStyle w:val="Heading2"/>
      </w:pPr>
      <w:r>
        <w:t>WGCNA identifies a microbe-driven host transcriptional module</w:t>
      </w:r>
    </w:p>
    <w:p>
      <w:r>
        <w:t>WGCNA of the leaf transcriptome identified 13 modules (power=20),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w:t>
      </w:r>
    </w:p>
    <w:p>
      <w:r>
        <w:t>In adventitious roots, WGCNA identified 17 modules (power=18). The key finding was the black module (n=169 genes), which was strongly correlated with ITS dysbiosis (r=−0.85, padj=0.001) but not with flight status (r=−0.38, p=0.32). This module was classified as microbe-driven, representing a host transcriptional response to fungal community changes that is independent of the direct spaceflight stimulus. GO enrichment of this module revealed enrichment for oxidative stress response genes, including peroxidase activity and hydrogen peroxide catabolism.</w:t>
      </w:r>
    </w:p>
    <w:p>
      <w:r>
        <w:t>GO enrichment analysis of all modules revealed biologically coherent functional signatures.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6786509"/>
            <wp:docPr id="7" name="Picture 7"/>
            <wp:cNvGraphicFramePr>
              <a:graphicFrameLocks noChangeAspect="1"/>
            </wp:cNvGraphicFramePr>
            <a:graphic>
              <a:graphicData uri="http://schemas.openxmlformats.org/drawingml/2006/picture">
                <pic:pic>
                  <pic:nvPicPr>
                    <pic:cNvPr id="0" name="fig4_module_traits_Leaf.png"/>
                    <pic:cNvPicPr/>
                  </pic:nvPicPr>
                  <pic:blipFill>
                    <a:blip r:embed="rId15"/>
                    <a:stretch>
                      <a:fillRect/>
                    </a:stretch>
                  </pic:blipFill>
                  <pic:spPr>
                    <a:xfrm>
                      <a:off x="0" y="0"/>
                      <a:ext cx="5760720" cy="6786509"/>
                    </a:xfrm>
                    <a:prstGeom prst="rect"/>
                  </pic:spPr>
                </pic:pic>
              </a:graphicData>
            </a:graphic>
          </wp:inline>
        </w:drawing>
      </w:r>
    </w:p>
    <w:p>
      <w:r>
        <w:rPr>
          <w:b/>
        </w:rPr>
        <w:t>*Figure 4 (Leaf).</w:t>
      </w:r>
      <w:r>
        <w:t xml:space="preserve"> WGCNA module–trait correlations (flight, light, 16S/ITS dysbiosis).*</w:t>
      </w:r>
    </w:p>
    <w:p>
      <w:pPr>
        <w:jc w:val="center"/>
      </w:pPr>
      <w:r>
        <w:drawing>
          <wp:inline xmlns:a="http://schemas.openxmlformats.org/drawingml/2006/main" xmlns:pic="http://schemas.openxmlformats.org/drawingml/2006/picture">
            <wp:extent cx="5116831" cy="7498079"/>
            <wp:docPr id="8" name="Picture 8"/>
            <wp:cNvGraphicFramePr>
              <a:graphicFrameLocks noChangeAspect="1"/>
            </wp:cNvGraphicFramePr>
            <a:graphic>
              <a:graphicData uri="http://schemas.openxmlformats.org/drawingml/2006/picture">
                <pic:pic>
                  <pic:nvPicPr>
                    <pic:cNvPr id="0" name="fig4_module_traits_AdvRoot.png"/>
                    <pic:cNvPicPr/>
                  </pic:nvPicPr>
                  <pic:blipFill>
                    <a:blip r:embed="rId16"/>
                    <a:stretch>
                      <a:fillRect/>
                    </a:stretch>
                  </pic:blipFill>
                  <pic:spPr>
                    <a:xfrm>
                      <a:off x="0" y="0"/>
                      <a:ext cx="5116831" cy="7498079"/>
                    </a:xfrm>
                    <a:prstGeom prst="rect"/>
                  </pic:spPr>
                </pic:pic>
              </a:graphicData>
            </a:graphic>
          </wp:inline>
        </w:drawing>
      </w:r>
    </w:p>
    <w:p>
      <w:r>
        <w:rPr>
          <w:b/>
        </w:rPr>
        <w:t>*Figure 4 (Adv-Root).</w:t>
      </w:r>
      <w:r>
        <w:t xml:space="preserve"> Module–trait correlations; the black module tracks ITS dysbiosis (r=−0.85) but not flight.*</w:t>
      </w:r>
    </w:p>
    <w:p>
      <w:pPr>
        <w:pStyle w:val="Heading2"/>
      </w:pPr>
      <w:r>
        <w:t>MOFA+ confirms dominant flight factor and cross-omics coordination</w:t>
      </w:r>
    </w:p>
    <w:p>
      <w:r>
        <w:t>MOFA+ integration of 21 matched leaf samples across three omics views (transcriptome: 2,000 genes; 16S: 348 ASVs; ITS: 77 ASVs) identified 5 factors. Factor 1 was the dominant signal, explaining 48.0% of transcriptome variance, 12.0% of 16S variance, and 3.0% of ITS variance. Factor 1 was significantly correlated with flight status (Spearman ρ=−0.76, padj=0.001), confirming that spaceflight is the primary axis of coordinated variation across omics layers.</w:t>
      </w:r>
    </w:p>
    <w:p>
      <w:r>
        <w:t>Factor 2 showed a trend toward correlation with 16S dysbiosis (ρ=−0.52, p=0.018, padj=0.089), while Factor 3 trended with both light treatment (ρ=0.52) and ITS dysbiosis (ρ=0.50). The transcriptome contributed the highest-weighted features to all factors, reflecting its greater dimensionality, but microbial features were consistently present in the top weights.</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ig5a_mofa_variance.png"/>
                    <pic:cNvPicPr/>
                  </pic:nvPicPr>
                  <pic:blipFill>
                    <a:blip r:embed="rId17"/>
                    <a:stretch>
                      <a:fillRect/>
                    </a:stretch>
                  </pic:blipFill>
                  <pic:spPr>
                    <a:xfrm>
                      <a:off x="0" y="0"/>
                      <a:ext cx="5760720" cy="3600450"/>
                    </a:xfrm>
                    <a:prstGeom prst="rect"/>
                  </pic:spPr>
                </pic:pic>
              </a:graphicData>
            </a:graphic>
          </wp:inline>
        </w:drawing>
      </w:r>
    </w:p>
    <w:p>
      <w:r>
        <w:rPr>
          <w:b/>
        </w:rPr>
        <w:t>*Figure 5A.</w:t>
      </w:r>
      <w:r>
        <w:t xml:space="preserve"> MOFA+ variance explained per factor per view (transcriptome, 16S, ITS).*</w:t>
      </w:r>
    </w:p>
    <w:p>
      <w:pPr>
        <w:jc w:val="center"/>
      </w:pPr>
      <w:r>
        <w:drawing>
          <wp:inline xmlns:a="http://schemas.openxmlformats.org/drawingml/2006/main" xmlns:pic="http://schemas.openxmlformats.org/drawingml/2006/picture">
            <wp:extent cx="5760720" cy="4114800"/>
            <wp:docPr id="10" name="Picture 10"/>
            <wp:cNvGraphicFramePr>
              <a:graphicFrameLocks noChangeAspect="1"/>
            </wp:cNvGraphicFramePr>
            <a:graphic>
              <a:graphicData uri="http://schemas.openxmlformats.org/drawingml/2006/picture">
                <pic:pic>
                  <pic:nvPicPr>
                    <pic:cNvPr id="0" name="fig5b_mofa_correlations.png"/>
                    <pic:cNvPicPr/>
                  </pic:nvPicPr>
                  <pic:blipFill>
                    <a:blip r:embed="rId18"/>
                    <a:stretch>
                      <a:fillRect/>
                    </a:stretch>
                  </pic:blipFill>
                  <pic:spPr>
                    <a:xfrm>
                      <a:off x="0" y="0"/>
                      <a:ext cx="5760720" cy="4114800"/>
                    </a:xfrm>
                    <a:prstGeom prst="rect"/>
                  </pic:spPr>
                </pic:pic>
              </a:graphicData>
            </a:graphic>
          </wp:inline>
        </w:drawing>
      </w:r>
    </w:p>
    <w:p>
      <w:r>
        <w:rPr>
          <w:b/>
        </w:rPr>
        <w:t>*Figure 5B.</w:t>
      </w:r>
      <w:r>
        <w:t xml:space="preserve"> MOFA+ factor–trait correlations; Factor 1 captures flight (ρ=−0.76).*</w:t>
      </w:r>
    </w:p>
    <w:p>
      <w:pPr>
        <w:pStyle w:val="Heading2"/>
      </w:pPr>
      <w:r>
        <w:t>Module-taxon correlations link host modules to specific bacteria</w:t>
      </w:r>
    </w:p>
    <w:p>
      <w:r>
        <w:t xml:space="preserve">Bipartite correlation networks identified 29 significant module-taxon relationships (BH padj &lt; 0.05), predominantly in leaf 16S (28 of 29). The flight-associated turquoise module positively correlated with </w:t>
      </w:r>
      <w:r>
        <w:rPr>
          <w:i/>
        </w:rPr>
        <w:t>Methylobacterium-Methylorubrum</w:t>
      </w:r>
      <w:r>
        <w:t xml:space="preserve"> (ρ=+0.76, padj=0.001),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w:t>
      </w:r>
      <w:r>
        <w:rPr>
          <w:i/>
        </w:rPr>
        <w:t>Pantoea</w:t>
      </w:r>
      <w:r>
        <w:t xml:space="preserve">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4608576"/>
            <wp:docPr id="11" name="Picture 11"/>
            <wp:cNvGraphicFramePr>
              <a:graphicFrameLocks noChangeAspect="1"/>
            </wp:cNvGraphicFramePr>
            <a:graphic>
              <a:graphicData uri="http://schemas.openxmlformats.org/drawingml/2006/picture">
                <pic:pic>
                  <pic:nvPicPr>
                    <pic:cNvPr id="0" name="fig6_module_taxon_network.png"/>
                    <pic:cNvPicPr/>
                  </pic:nvPicPr>
                  <pic:blipFill>
                    <a:blip r:embed="rId19"/>
                    <a:stretch>
                      <a:fillRect/>
                    </a:stretch>
                  </pic:blipFill>
                  <pic:spPr>
                    <a:xfrm>
                      <a:off x="0" y="0"/>
                      <a:ext cx="5760720" cy="4608576"/>
                    </a:xfrm>
                    <a:prstGeom prst="rect"/>
                  </pic:spPr>
                </pic:pic>
              </a:graphicData>
            </a:graphic>
          </wp:inline>
        </w:drawing>
      </w:r>
    </w:p>
    <w:p>
      <w:r>
        <w:rPr>
          <w:b/>
        </w:rPr>
        <w:t>*Figure 6.</w:t>
      </w:r>
      <w:r>
        <w:t xml:space="preserve"> Bipartite module–taxon network linking flight-associated modules to Methylobacterium, Burkholderia, Azospirillum.*</w:t>
      </w:r>
    </w:p>
    <w:p>
      <w:pPr>
        <w:pStyle w:val="Heading2"/>
      </w:pPr>
      <w:r>
        <w:t>Functional prediction reveals nitrogen cycling and methanotrophy</w:t>
      </w:r>
    </w:p>
    <w:p>
      <w:r>
        <w:t xml:space="preserve">FAPROTAX assigned 239 of 348 bacterial ASVs to 29 functional categories. The dominant predicted functions were aerobic chemoheterotrophy (787,792 reads, 185 taxa), nitrogen fixation (164,614 reads, 12 taxa), methanotrophy (96,514 reads, 15 taxa), and methanol oxidation (96,687 reads, 15 taxa). The methanotrophy and methanol oxidation functions were primarily associated with </w:t>
      </w:r>
      <w:r>
        <w:rPr>
          <w:i/>
        </w:rPr>
        <w:t>Methylobacterium-Methylorubrum</w:t>
      </w:r>
      <w:r>
        <w:t>, the same genus showing the strongest positive correlation with the flight-associated WGCNA module.</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w:t>
      </w:r>
    </w:p>
    <w:p>
      <w:pPr>
        <w:jc w:val="center"/>
      </w:pPr>
      <w:r>
        <w:drawing>
          <wp:inline xmlns:a="http://schemas.openxmlformats.org/drawingml/2006/main" xmlns:pic="http://schemas.openxmlformats.org/drawingml/2006/picture">
            <wp:extent cx="5760720" cy="4320540"/>
            <wp:docPr id="12" name="Picture 12"/>
            <wp:cNvGraphicFramePr>
              <a:graphicFrameLocks noChangeAspect="1"/>
            </wp:cNvGraphicFramePr>
            <a:graphic>
              <a:graphicData uri="http://schemas.openxmlformats.org/drawingml/2006/picture">
                <pic:pic>
                  <pic:nvPicPr>
                    <pic:cNvPr id="0" name="fig7_faprotax.png"/>
                    <pic:cNvPicPr/>
                  </pic:nvPicPr>
                  <pic:blipFill>
                    <a:blip r:embed="rId20"/>
                    <a:stretch>
                      <a:fillRect/>
                    </a:stretch>
                  </pic:blipFill>
                  <pic:spPr>
                    <a:xfrm>
                      <a:off x="0" y="0"/>
                      <a:ext cx="5760720" cy="4320540"/>
                    </a:xfrm>
                    <a:prstGeom prst="rect"/>
                  </pic:spPr>
                </pic:pic>
              </a:graphicData>
            </a:graphic>
          </wp:inline>
        </w:drawing>
      </w:r>
    </w:p>
    <w:p>
      <w:r>
        <w:rPr>
          <w:b/>
        </w:rPr>
        <w:t>*Figure 7.</w:t>
      </w:r>
      <w:r>
        <w:t xml:space="preserve"> FAPROTAX predicted bacterial functions (aerobic chemoheterotrophy, N fixation, methanotrophy, methanol oxidation).*</w:t>
      </w:r>
    </w:p>
    <w:p>
      <w:pPr>
        <w:pStyle w:val="Heading1"/>
      </w:pPr>
      <w:r>
        <w:t>Discussion</w:t>
      </w:r>
    </w:p>
    <w:p>
      <w:r>
        <w:t>This study presents the first integrated multi-omics analysis of plant-microbiome interactions in the ISS VEG-05 experiment. Our findings reveal three key insights: (1) spaceflight restructures leaf bacterial communities more than fungal communities, with increased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p=0.32) indicates that the host transcriptional response in this module is driven by microbial community changes rather than directly by the spaceflight environment. The enrichment of oxidative stress genes in this module suggests that fungal community restructuring may trigger host defense responses, potentially through oxidative burst signaling.</w:t>
      </w:r>
    </w:p>
    <w:p>
      <w:pPr>
        <w:pStyle w:val="Heading2"/>
      </w:pPr>
      <w:r>
        <w:t>Relationship to a cross-mission salicylic-acid integration</w:t>
      </w:r>
    </w:p>
    <w:p>
      <w:r>
        <w:t xml:space="preserve">These microbiome findings dovetail with a companion cross-mission analysis that integrated the same OSD-767 transcriptome with an Advanced Plant Habitat experiment manipulating salicylic-acid (SA) signalling (wild-type MoneyMaker versus the SA-deficient </w:t>
      </w:r>
      <w:r>
        <w:rPr>
          <w:i/>
        </w:rPr>
        <w:t>NahG</w:t>
      </w:r>
      <w:r>
        <w:t xml:space="preserve"> line). That analysis concluded that the spaceflight transcriptome resembles an SA-deficient, biotic-defense-primed state. Our results offer a proximal explanation: spaceflight-induced dysbiosis — and the microbe-driven, flight-independent host module identified here — could be the stimulus that elicits that defense-primed signature, with SA acting as the gating regulator of plant biotic immunity. Reassuringly, both analyses independently recover the blue-light amplification of the spaceflight response (here, 4,716 versus 523 leaf DEGs; there, a blue-LED-amplified biotic/hormone stress axis) despite using different pipelines. This also rationalises why gene-level spaceflight signatures replicate poorly across missions while the biotic-defense </w:t>
      </w:r>
      <w:r>
        <w:rPr>
          <w:i/>
        </w:rPr>
        <w:t>pattern</w:t>
      </w:r>
      <w:r>
        <w:t xml:space="preserve"> is conserved: if that pattern tracks the mission-variable microbiome rather than a fixed microgravity program, pattern-level conservation alongside gene-level divergence is exactly what one expects. A full comparison is provided in `COMPARISON_with_SA_integration.md`.</w:t>
      </w:r>
    </w:p>
    <w:p>
      <w:pPr>
        <w:pStyle w:val="Heading2"/>
      </w:pPr>
      <w:r>
        <w:t>Limitations</w:t>
      </w:r>
    </w:p>
    <w:p>
      <w:r>
        <w:t>Several limitations should be noted. First, sample sizes are small (n=21 leaf, n=15 root for RNA-seq; n=9–12 per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Fourth, MOFA+ warned that Factor 1 may partially capture technical variation (detection rate differences), though the strong biological signal supports its interpretation as a flight factor. Fifth, FAPROTAX functional predictions are based on taxonomy and should be validated with metagenomic or metatcriptomic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(Bray-Curtis displacement from ground centroid);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w:t>
      </w:r>
    </w:p>
    <w:p>
      <w:pPr>
        <w:pStyle w:val="ListBullet"/>
      </w:pPr>
      <w:r>
        <w:rPr>
          <w:b/>
        </w:rPr>
        <w:t>Figure 3C.</w:t>
      </w:r>
      <w:r>
        <w:t xml:space="preserve"> Adventitious-root Flight-vs-Ground volcano (predominantly upregulation).</w:t>
      </w:r>
    </w:p>
    <w:p>
      <w:pPr>
        <w:pStyle w:val="ListBullet"/>
      </w:pPr>
      <w:r>
        <w:rPr>
          <w:b/>
        </w:rPr>
        <w:t>Figure 4 (Leaf).</w:t>
      </w:r>
      <w:r>
        <w:t xml:space="preserve"> WGCNA module–trait correlations (flight, light, 16S/ITS dysbiosis).</w:t>
      </w:r>
    </w:p>
    <w:p>
      <w:pPr>
        <w:pStyle w:val="ListBullet"/>
      </w:pPr>
      <w:r>
        <w:rPr>
          <w:b/>
        </w:rPr>
        <w:t>Figure 4 (Adv-Root).</w:t>
      </w:r>
      <w:r>
        <w:t xml:space="preserve"> Module–trait correlations; the black module tracks ITS dysbiosis (r=−0.85) but not flight.</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(ρ=−0.76).</w:t>
      </w:r>
    </w:p>
    <w:p>
      <w:pPr>
        <w:pStyle w:val="ListBullet"/>
      </w:pPr>
      <w:r>
        <w:rPr>
          <w:b/>
        </w:rPr>
        <w:t>Figure 6.</w:t>
      </w:r>
      <w:r>
        <w:t xml:space="preserve"> Bipartite module–taxon network linking flight-associated modules to Methylobacterium, Burkholderia, Azospirillum.</w:t>
      </w:r>
    </w:p>
    <w:p>
      <w:pPr>
        <w:pStyle w:val="ListBullet"/>
      </w:pPr>
      <w:r>
        <w:rPr>
          <w:b/>
        </w:rPr>
        <w:t>Figure 7.</w:t>
      </w:r>
      <w:r>
        <w:t xml:space="preserve"> FAPROTAX predicted bacterial functions (aerobic chemoheterotrophy, N fixation, methanotrophy, methanol oxidation).</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Structuring and function of the root microbiota in health and disease. </w:t>
      </w:r>
      <w:r>
        <w:rPr>
          <w:i/>
        </w:rPr>
        <w:t>Annu. Rev. Plant Biol.</w:t>
      </w:r>
      <w:r>
        <w:t xml:space="preserve"> 64, 807–838 (2013).</w:t>
      </w:r>
    </w:p>
    <w:p>
      <w:r>
        <w:t xml:space="preserve">[2] Wheeler, R.M. et al. Crop production for space life support: a review. </w:t>
      </w:r>
      <w:r>
        <w:rPr>
          <w:i/>
        </w:rPr>
        <w:t>Adv. Space Res.</w:t>
      </w:r>
      <w:r>
        <w:t xml:space="preserve"> 41, 1057–1066 (2008).</w:t>
      </w:r>
    </w:p>
    <w:p>
      <w:r>
        <w:t xml:space="preserve">[3] Massa, G.D. et al. VEG-05: Plant habitat-02 tomato plant growth in the vegetable production system on the ISS. </w:t>
      </w:r>
      <w:r>
        <w:rPr>
          <w:i/>
        </w:rPr>
        <w:t>NASA Technical Report</w:t>
      </w:r>
      <w:r>
        <w:t xml:space="preserve"> (2024).</w:t>
      </w:r>
    </w:p>
    <w:p>
      <w:r>
        <w:t xml:space="preserve">[4] Rosenzweig, J.A. et al. Spaceflight and model microorganisms. </w:t>
      </w:r>
      <w:r>
        <w:rPr>
          <w:i/>
        </w:rPr>
        <w:t>npj Microgravity</w:t>
      </w:r>
      <w:r>
        <w:t xml:space="preserve"> 1, 15009 (2015).</w:t>
      </w:r>
    </w:p>
    <w:p>
      <w:r>
        <w:t xml:space="preserve">[5] Voorhies, A.A. et al. Spaceflight alters bacterial gene expression and virulence. </w:t>
      </w:r>
      <w:r>
        <w:rPr>
          <w:i/>
        </w:rPr>
        <w:t>PLoS ONE</w:t>
      </w:r>
      <w:r>
        <w:t xml:space="preserve"> 14, e0224893 (2019).</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fungi. </w:t>
      </w:r>
      <w:r>
        <w:rPr>
          <w:i/>
        </w:rPr>
        <w:t>Oikos</w:t>
      </w:r>
      <w:r>
        <w:t xml:space="preserve"> 112, 182–186 (2005).</w:t>
      </w:r>
    </w:p>
    <w:p>
      <w:r>
        <w:t xml:space="preserve">[12] Love, M.I. et al. Moderated estimation of fold change and dispersion for RNA-seq data with DESeq2. </w:t>
      </w:r>
      <w:r>
        <w:rPr>
          <w:i/>
        </w:rPr>
        <w:t>Genome Biol.</w:t>
      </w:r>
      <w:r>
        <w:t xml:space="preserve"> 15, 550 (2014).</w:t>
      </w:r>
    </w:p>
    <w:p>
      <w:r>
        <w:t xml:space="preserve">[13] Zhu, A. et al. Heavy-tailed prior distributions for sequence count data: removing the bias and dissecting the controversy. </w:t>
      </w:r>
      <w:r>
        <w:rPr>
          <w:i/>
        </w:rPr>
        <w:t>Genome Biol.</w:t>
      </w:r>
      <w:r>
        <w:t xml:space="preserve"> 20, 139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2.7-5 (2024).</w:t>
      </w:r>
    </w:p>
    <w:p>
      <w:r>
        <w:t xml:space="preserve">[17] Fernandes, A.D. et al. Unifying the analysis of high-throughput sequencing data: comparing RNA-Seq and chip-Seq data. </w:t>
      </w:r>
      <w:r>
        <w:rPr>
          <w:i/>
        </w:rPr>
        <w:t>PLoS ONE</w:t>
      </w:r>
      <w:r>
        <w:t xml:space="preserve"> 8, e67023 (2013).</w:t>
      </w:r>
    </w:p>
    <w:p>
      <w:r>
        <w:t xml:space="preserve">[18] Yu, G. et al. clusterProfiler: an R package for comparing biological themes among gene clusters. </w:t>
      </w:r>
      <w:r>
        <w:rPr>
          <w:i/>
        </w:rPr>
        <w:t>OMICS</w:t>
      </w:r>
      <w:r>
        <w:t xml:space="preserve"> 16, 284–287 (2012).</w:t>
      </w:r>
    </w:p>
    <w:p>
      <w:r>
        <w:t xml:space="preserve">[19] Louca, S. et al. FAPROTAX: a functional annotation of prokaryotic taxa. </w:t>
      </w:r>
      <w:r>
        <w:rPr>
          <w:i/>
        </w:rPr>
        <w:t>Nat. Commun.</w:t>
      </w:r>
      <w:r>
        <w:t xml:space="preserve"> 7, 12428 (2016).</w:t>
      </w:r>
    </w:p>
    <w:p>
      <w:r>
        <w:t xml:space="preserve">[20] Nguyen, N.H. et al. FUNGuild: an open annotation tool for parsing fungal community datasets. </w:t>
      </w:r>
      <w:r>
        <w:rPr>
          <w:i/>
        </w:rPr>
        <w:t>Fungal Ecol.</w:t>
      </w:r>
      <w:r>
        <w:t xml:space="preserve"> 20, 241–248 (2016).</w:t>
      </w:r>
    </w:p>
    <w:p>
      <w:r>
        <w:t xml:space="preserve">[21] Voorhies, A.A. et al. Study of the impact of long-duration spaceflight on the astronaut microbiome. </w:t>
      </w:r>
      <w:r>
        <w:rPr>
          <w:i/>
        </w:rPr>
        <w:t>Sci. Rep.</w:t>
      </w:r>
      <w:r>
        <w:t xml:space="preserve"> 9, 9911 (2019).</w:t>
      </w:r>
    </w:p>
    <w:p>
      <w:r>
        <w:t xml:space="preserve">[22] Chaves, I. et al. The cryptochromes: blue light receptors in plants and animals. </w:t>
      </w:r>
      <w:r>
        <w:rPr>
          <w:i/>
        </w:rPr>
        <w:t>Annu. Rev. Plant Biol.</w:t>
      </w:r>
      <w:r>
        <w:t xml:space="preserve"> 62, 335–364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