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40"/>
        <w:jc w:val="center"/>
      </w:pPr>
      <w:r>
        <w:rPr>
          <w:rFonts w:ascii="Arial" w:cs="Arial" w:eastAsia="Arial" w:hAnsi="Arial"/>
          <w:b/>
          <w:bCs/>
          <w:color w:val="1F3864"/>
          <w:sz w:val="40"/>
          <w:szCs w:val="40"/>
        </w:rPr>
        <w:t xml:space="preserve">A Multi-Dimensional Scoring Framework for Volunteer</w:t>
      </w:r>
    </w:p>
    <w:p>
      <w:pPr>
        <w:spacing w:after="120" w:before="0"/>
        <w:jc w:val="center"/>
      </w:pPr>
      <w:r>
        <w:rPr>
          <w:rFonts w:ascii="Arial" w:cs="Arial" w:eastAsia="Arial" w:hAnsi="Arial"/>
          <w:b/>
          <w:bCs/>
          <w:color w:val="1F3864"/>
          <w:sz w:val="40"/>
          <w:szCs w:val="40"/>
        </w:rPr>
        <w:t xml:space="preserve">Contribution in Diaspora Communities</w:t>
      </w:r>
    </w:p>
    <w:p>
      <w:pPr>
        <w:spacing w:after="80" w:before="80"/>
        <w:jc w:val="center"/>
      </w:pPr>
      <w:r>
        <w:rPr>
          <w:rFonts w:ascii="Arial" w:cs="Arial" w:eastAsia="Arial" w:hAnsi="Arial"/>
          <w:i/>
          <w:iCs/>
          <w:color w:val="1B6B8A"/>
          <w:sz w:val="24"/>
          <w:szCs w:val="24"/>
        </w:rPr>
        <w:t xml:space="preserve">Design, Stabilization, and Validation Strategy of the Ganesh-Standard Formula</w:t>
      </w:r>
    </w:p>
    <w:p>
      <w:pPr>
        <w:pBdr>
          <w:bottom w:val="single" w:color="1B6B8A" w:sz="4" w:space="1"/>
        </w:pBdr>
        <w:spacing w:after="80" w:before="80"/>
      </w:pPr>
    </w:p>
    <w:p>
      <w:pPr>
        <w:spacing w:after="240" w:before="100"/>
        <w:jc w:val="center"/>
      </w:pPr>
      <w:r>
        <w:rPr>
          <w:rFonts w:ascii="Arial" w:cs="Arial" w:eastAsia="Arial" w:hAnsi="Arial"/>
          <w:b/>
          <w:bCs/>
          <w:sz w:val="20"/>
          <w:szCs w:val="20"/>
        </w:rPr>
        <w:t xml:space="preserve">Keywords: </w:t>
      </w:r>
      <w:r>
        <w:rPr>
          <w:rFonts w:ascii="Arial" w:cs="Arial" w:eastAsia="Arial" w:hAnsi="Arial"/>
          <w:i/>
          <w:iCs/>
          <w:color w:val="4A4A4A"/>
          <w:sz w:val="20"/>
          <w:szCs w:val="20"/>
        </w:rPr>
        <w:t xml:space="preserve">contribution scoring, fairness, diaspora communities, mechanism design, trust modeling, competitive altruism, bonding help</w:t>
      </w:r>
    </w:p>
    <w:p>
      <w:pPr>
        <w:pStyle w:val="Heading1"/>
        <w:spacing w:after="160" w:before="360"/>
      </w:pPr>
      <w:r>
        <w:rPr>
          <w:rFonts w:ascii="Arial" w:cs="Arial" w:eastAsia="Arial" w:hAnsi="Arial"/>
          <w:b/>
          <w:bCs/>
          <w:color w:val="1F3864"/>
          <w:sz w:val="28"/>
          <w:szCs w:val="28"/>
        </w:rPr>
        <w:t xml:space="preserve">Abstract</w:t>
      </w:r>
    </w:p>
    <w:p>
      <w:pPr>
        <w:spacing w:after="120" w:before="80"/>
      </w:pPr>
      <w:r>
        <w:rPr>
          <w:rFonts w:ascii="Arial" w:cs="Arial" w:eastAsia="Arial" w:hAnsi="Arial"/>
          <w:sz w:val="22"/>
          <w:szCs w:val="22"/>
        </w:rPr>
        <w:t xml:space="preserve">Volunteer-driven diaspora organizations face persistent challenges in </w:t>
      </w:r>
      <w:r>
        <w:rPr>
          <w:rFonts w:ascii="Arial" w:cs="Arial" w:eastAsia="Arial" w:hAnsi="Arial"/>
          <w:b/>
          <w:bCs/>
          <w:sz w:val="22"/>
          <w:szCs w:val="22"/>
        </w:rPr>
        <w:t xml:space="preserve">fair, transparent, and scalable recognition of contributions</w:t>
      </w:r>
      <w:r>
        <w:rPr>
          <w:rFonts w:ascii="Arial" w:cs="Arial" w:eastAsia="Arial" w:hAnsi="Arial"/>
          <w:sz w:val="22"/>
          <w:szCs w:val="22"/>
        </w:rPr>
        <w:t xml:space="preserve">. Existing systems are typically binary, opaque, or vulnerable to strategic manipulation, which limits both participant trust and long-term engagement.</w:t>
      </w:r>
    </w:p>
    <w:p>
      <w:pPr>
        <w:spacing w:after="120" w:before="80"/>
      </w:pPr>
      <w:r>
        <w:rPr>
          <w:rFonts w:ascii="Arial" w:cs="Arial" w:eastAsia="Arial" w:hAnsi="Arial"/>
          <w:sz w:val="22"/>
          <w:szCs w:val="22"/>
        </w:rPr>
        <w:t xml:space="preserve">This paper introduces the </w:t>
      </w:r>
      <w:r>
        <w:rPr>
          <w:rFonts w:ascii="Arial" w:cs="Arial" w:eastAsia="Arial" w:hAnsi="Arial"/>
          <w:b/>
          <w:bCs/>
          <w:sz w:val="22"/>
          <w:szCs w:val="22"/>
        </w:rPr>
        <w:t xml:space="preserve">Ganesh-Standard Formula</w:t>
      </w:r>
      <w:r>
        <w:rPr>
          <w:rFonts w:ascii="Arial" w:cs="Arial" w:eastAsia="Arial" w:hAnsi="Arial"/>
          <w:sz w:val="22"/>
          <w:szCs w:val="22"/>
        </w:rPr>
        <w:t xml:space="preserve">, a multi-dimensional scoring mechanism that synthesizes concepts from multidimensional deprivation measurement (Alkire &amp; Foster, 2011), subjective logic trust modeling (Jøsang, 1996), cooperative contribution theory (Shapley, 1953), and evolutionary prosociality (Hamilton, 1964; Trivers, 1971) into a single operational mechanism. The framework transforms raw effort through a diminishing-returns function, applies tier-based recognition bonuses, aggregates skill diversity, verification credibility, collaboration, and—critically—</w:t>
      </w:r>
      <w:r>
        <w:rPr>
          <w:rFonts w:ascii="Arial" w:cs="Arial" w:eastAsia="Arial" w:hAnsi="Arial"/>
          <w:b/>
          <w:bCs/>
          <w:sz w:val="22"/>
          <w:szCs w:val="22"/>
        </w:rPr>
        <w:t xml:space="preserve">bonding help multipliers</w:t>
      </w:r>
      <w:r>
        <w:rPr>
          <w:rFonts w:ascii="Arial" w:cs="Arial" w:eastAsia="Arial" w:hAnsi="Arial"/>
          <w:sz w:val="22"/>
          <w:szCs w:val="22"/>
        </w:rPr>
        <w:t xml:space="preserve"> under a global amplification cap (M_max = 2.0), and enforces anti-gaming constraints.</w:t>
      </w:r>
    </w:p>
    <w:p>
      <w:pPr>
        <w:spacing w:after="120" w:before="80"/>
      </w:pPr>
      <w:r>
        <w:rPr>
          <w:rFonts w:ascii="Arial" w:cs="Arial" w:eastAsia="Arial" w:hAnsi="Arial"/>
          <w:sz w:val="22"/>
          <w:szCs w:val="22"/>
        </w:rPr>
        <w:t xml:space="preserve">We position the model explicitly as a </w:t>
      </w:r>
      <w:r>
        <w:rPr>
          <w:rFonts w:ascii="Arial" w:cs="Arial" w:eastAsia="Arial" w:hAnsi="Arial"/>
          <w:i/>
          <w:iCs/>
          <w:color w:val="4A4A4A"/>
          <w:sz w:val="22"/>
          <w:szCs w:val="22"/>
        </w:rPr>
        <w:t xml:space="preserve">heuristic synthesis</w:t>
      </w:r>
      <w:r>
        <w:rPr>
          <w:rFonts w:ascii="Arial" w:cs="Arial" w:eastAsia="Arial" w:hAnsi="Arial"/>
          <w:sz w:val="22"/>
          <w:szCs w:val="22"/>
        </w:rPr>
        <w:t xml:space="preserve"> rather than a theoretically derived optimum. Key risks—non-linear amplification, bias propagation, cultural access inequality, and strategic manipulation—are identified, with a stabilized version (v2) proposed to address each. A full research validation agenda is defined, comprising five testable hypotheses (H1–H5), three empirical studies with statistical power analysis (N = 280 per condition), and a personalized social-comparison feedback architecture grounded in behavioral field experiments (Chen et al., 2009; Mavrodiev et al., 2013).</w:t>
      </w:r>
    </w:p>
    <w:p>
      <w:pPr>
        <w:spacing w:after="120" w:before="80"/>
      </w:pPr>
      <w:r>
        <w:rPr>
          <w:rFonts w:ascii="Arial" w:cs="Arial" w:eastAsia="Arial" w:hAnsi="Arial"/>
          <w:sz w:val="22"/>
          <w:szCs w:val="22"/>
        </w:rPr>
        <w:t xml:space="preserve">The primary contribution of this work is not a new theoretical model, but the </w:t>
      </w:r>
      <w:r>
        <w:rPr>
          <w:rFonts w:ascii="Arial" w:cs="Arial" w:eastAsia="Arial" w:hAnsi="Arial"/>
          <w:b/>
          <w:bCs/>
          <w:sz w:val="22"/>
          <w:szCs w:val="22"/>
        </w:rPr>
        <w:t xml:space="preserve">operationalization of fairness as a measurable, auditable, and experimentally testable property</w:t>
      </w:r>
      <w:r>
        <w:rPr>
          <w:rFonts w:ascii="Arial" w:cs="Arial" w:eastAsia="Arial" w:hAnsi="Arial"/>
          <w:sz w:val="22"/>
          <w:szCs w:val="22"/>
        </w:rPr>
        <w:t xml:space="preserve"> in real-world volunteer management systems.</w:t>
      </w:r>
    </w:p>
    <w:p>
      <w:pPr>
        <w:spacing w:after="160" w:before="0"/>
      </w:pPr>
    </w:p>
    <w:p>
      <w:pPr>
        <w:pStyle w:val="Heading1"/>
        <w:spacing w:after="160" w:before="360"/>
      </w:pPr>
      <w:r>
        <w:rPr>
          <w:rFonts w:ascii="Arial" w:cs="Arial" w:eastAsia="Arial" w:hAnsi="Arial"/>
          <w:b/>
          <w:bCs/>
          <w:color w:val="1F3864"/>
          <w:sz w:val="28"/>
          <w:szCs w:val="28"/>
        </w:rPr>
        <w:t xml:space="preserve">1. Introduction</w:t>
      </w:r>
    </w:p>
    <w:p>
      <w:pPr>
        <w:pStyle w:val="Heading2"/>
        <w:spacing w:after="120" w:before="280"/>
      </w:pPr>
      <w:r>
        <w:rPr>
          <w:rFonts w:ascii="Arial" w:cs="Arial" w:eastAsia="Arial" w:hAnsi="Arial"/>
          <w:b/>
          <w:bCs/>
          <w:color w:val="1B6B8A"/>
          <w:sz w:val="24"/>
          <w:szCs w:val="24"/>
        </w:rPr>
        <w:t xml:space="preserve">1.1 Motivation</w:t>
      </w:r>
    </w:p>
    <w:p>
      <w:pPr>
        <w:spacing w:after="120" w:before="80"/>
      </w:pPr>
      <w:r>
        <w:rPr>
          <w:rFonts w:ascii="Arial" w:cs="Arial" w:eastAsia="Arial" w:hAnsi="Arial"/>
          <w:color w:val="000000"/>
          <w:sz w:val="22"/>
          <w:szCs w:val="22"/>
        </w:rPr>
        <w:t xml:space="preserve">Diaspora communities sustain themselves through voluntary contributions spanning cultural preservation, humanitarian aid, and organizational coordination. Despite their critical importance, these contributions are rarely measured in ways that are simultaneously fair across heterogeneous contexts, transparent to participants, resistant to gaming, and scalable across organizations.</w:t>
      </w:r>
    </w:p>
    <w:p>
      <w:pPr>
        <w:spacing w:after="120" w:before="80"/>
      </w:pPr>
      <w:r>
        <w:rPr>
          <w:rFonts w:ascii="Arial" w:cs="Arial" w:eastAsia="Arial" w:hAnsi="Arial"/>
          <w:color w:val="000000"/>
          <w:sz w:val="22"/>
          <w:szCs w:val="22"/>
        </w:rPr>
        <w:t xml:space="preserve">Most existing recognition mechanisms fall into one of three inadequate categories:</w:t>
      </w:r>
    </w:p>
    <w:p>
      <w:pPr>
        <w:pStyle w:val="ListParagraph"/>
        <w:numPr>
          <w:ilvl w:val="0"/>
          <w:numId w:val="2"/>
        </w:numPr>
        <w:spacing w:after="60" w:before="60"/>
      </w:pPr>
      <w:r>
        <w:rPr>
          <w:rFonts w:ascii="Arial" w:cs="Arial" w:eastAsia="Arial" w:hAnsi="Arial"/>
          <w:sz w:val="22"/>
          <w:szCs w:val="22"/>
        </w:rPr>
        <w:t xml:space="preserve">Binary acknowledgment — uniform credit regardless of contribution scale or quality</w:t>
      </w:r>
    </w:p>
    <w:p>
      <w:pPr>
        <w:pStyle w:val="ListParagraph"/>
        <w:numPr>
          <w:ilvl w:val="0"/>
          <w:numId w:val="2"/>
        </w:numPr>
        <w:spacing w:after="60" w:before="60"/>
      </w:pPr>
      <w:r>
        <w:rPr>
          <w:rFonts w:ascii="Arial" w:cs="Arial" w:eastAsia="Arial" w:hAnsi="Arial"/>
          <w:sz w:val="22"/>
          <w:szCs w:val="22"/>
        </w:rPr>
        <w:t xml:space="preserve">Centralized subjective evaluation — susceptible to favoritism and power asymmetries</w:t>
      </w:r>
    </w:p>
    <w:p>
      <w:pPr>
        <w:pStyle w:val="ListParagraph"/>
        <w:numPr>
          <w:ilvl w:val="0"/>
          <w:numId w:val="2"/>
        </w:numPr>
        <w:spacing w:after="60" w:before="60"/>
      </w:pPr>
      <w:r>
        <w:rPr>
          <w:rFonts w:ascii="Arial" w:cs="Arial" w:eastAsia="Arial" w:hAnsi="Arial"/>
          <w:sz w:val="22"/>
          <w:szCs w:val="22"/>
        </w:rPr>
        <w:t xml:space="preserve">Opaque gamified point systems — lacking interpretability and theoretical grounding</w:t>
      </w:r>
    </w:p>
    <w:p>
      <w:pPr>
        <w:spacing w:after="80" w:before="0"/>
      </w:pPr>
    </w:p>
    <w:p>
      <w:pPr>
        <w:spacing w:after="120" w:before="80"/>
      </w:pPr>
      <w:r>
        <w:rPr>
          <w:rFonts w:ascii="Arial" w:cs="Arial" w:eastAsia="Arial" w:hAnsi="Arial"/>
          <w:color w:val="000000"/>
          <w:sz w:val="22"/>
          <w:szCs w:val="22"/>
        </w:rPr>
        <w:t xml:space="preserve">These deficiencies reduce both trust and long-term engagement (Fehr &amp; Schmidt, 1999; Chen et al., 2009). The consequences are material: organizations relying on invisible or under-recognized labor systematically devalue contributions by women, caregivers, and lower-SES volunteers—perpetuating the very inequalities they seek to address (Reinhart, 2025; Kramer &amp; Krüger, 2015).</w:t>
      </w:r>
    </w:p>
    <w:p>
      <w:pPr>
        <w:pStyle w:val="Heading2"/>
        <w:spacing w:after="120" w:before="280"/>
      </w:pPr>
      <w:r>
        <w:rPr>
          <w:rFonts w:ascii="Arial" w:cs="Arial" w:eastAsia="Arial" w:hAnsi="Arial"/>
          <w:b/>
          <w:bCs/>
          <w:color w:val="1B6B8A"/>
          <w:sz w:val="24"/>
          <w:szCs w:val="24"/>
        </w:rPr>
        <w:t xml:space="preserve">1.2 Research Question</w:t>
      </w:r>
    </w:p>
    <w:p>
      <w:pPr>
        <w:pBdr>
          <w:left w:val="thick" w:color="C9A84C" w:sz="12" w:space="6"/>
        </w:pBdr>
        <w:spacing w:after="120" w:before="120"/>
        <w:ind w:left="720" w:right="720"/>
      </w:pPr>
      <w:r>
        <w:rPr>
          <w:rFonts w:ascii="Arial" w:cs="Arial" w:eastAsia="Arial" w:hAnsi="Arial"/>
          <w:i/>
          <w:iCs/>
          <w:color w:val="4A4A4A"/>
          <w:sz w:val="21"/>
          <w:szCs w:val="21"/>
        </w:rPr>
        <w:t xml:space="preserve">How can a contribution scoring mechanism be designed such that it is transparent, resistant to gaming, and adaptable to socio-cultural diversity, while remaining computationally tractable and deployable in resource-constrained organizations?</w:t>
      </w:r>
    </w:p>
    <w:p>
      <w:pPr>
        <w:pStyle w:val="Heading2"/>
        <w:spacing w:after="120" w:before="280"/>
      </w:pPr>
      <w:r>
        <w:rPr>
          <w:rFonts w:ascii="Arial" w:cs="Arial" w:eastAsia="Arial" w:hAnsi="Arial"/>
          <w:b/>
          <w:bCs/>
          <w:color w:val="1B6B8A"/>
          <w:sz w:val="24"/>
          <w:szCs w:val="24"/>
        </w:rPr>
        <w:t xml:space="preserve">1.3 Evolutionary and Behavioral Foundations</w:t>
      </w:r>
    </w:p>
    <w:p>
      <w:pPr>
        <w:spacing w:after="120" w:before="80"/>
      </w:pPr>
      <w:r>
        <w:rPr>
          <w:rFonts w:ascii="Arial" w:cs="Arial" w:eastAsia="Arial" w:hAnsi="Arial"/>
          <w:color w:val="000000"/>
          <w:sz w:val="22"/>
          <w:szCs w:val="22"/>
        </w:rPr>
        <w:t xml:space="preserve">Volunteerism is not merely a social convention—it is grounded in deep evolutionary mechanisms. Kin selection (Hamilton, 1964), reciprocal altruism (Trivers, 1971), generalized reciprocity (Rutte &amp; Taborsky, 2008), and competitive altruism (Roberts, 1998; Hardy &amp; Van Vugt, 2006) all predict that individuals contribute to group welfare under specifiable conditions. Biological market theory (Noë &amp; Hammerstein, 1994) further demonstrates that rare skills command higher exchange value in cooperative partnerships.</w:t>
      </w:r>
    </w:p>
    <w:p>
      <w:pPr>
        <w:spacing w:after="120" w:before="80"/>
      </w:pPr>
      <w:r>
        <w:rPr>
          <w:rFonts w:ascii="Arial" w:cs="Arial" w:eastAsia="Arial" w:hAnsi="Arial"/>
          <w:color w:val="000000"/>
          <w:sz w:val="22"/>
          <w:szCs w:val="22"/>
        </w:rPr>
        <w:t xml:space="preserve">These mechanisms motivate specific design choices in the Ganesh-Standard: diminishing returns on effort reflect net-cost theory (Wilson &amp; Musick, 1997); skill multipliers reflect biological market scarcity logic; and social comparison feedback harnesses competitive altruism (Chen et al., 2009). The framework thus moves beyond administrative accounting toward a behaviorally grounded incentive architecture.</w:t>
      </w:r>
    </w:p>
    <w:p>
      <w:pPr>
        <w:pStyle w:val="Heading2"/>
        <w:spacing w:after="120" w:before="280"/>
      </w:pPr>
      <w:r>
        <w:rPr>
          <w:rFonts w:ascii="Arial" w:cs="Arial" w:eastAsia="Arial" w:hAnsi="Arial"/>
          <w:b/>
          <w:bCs/>
          <w:color w:val="1B6B8A"/>
          <w:sz w:val="24"/>
          <w:szCs w:val="24"/>
        </w:rPr>
        <w:t xml:space="preserve">1.4 Structure of This Paper</w:t>
      </w:r>
    </w:p>
    <w:p>
      <w:pPr>
        <w:spacing w:after="120" w:before="80"/>
      </w:pPr>
      <w:r>
        <w:rPr>
          <w:rFonts w:ascii="Arial" w:cs="Arial" w:eastAsia="Arial" w:hAnsi="Arial"/>
          <w:color w:val="000000"/>
          <w:sz w:val="22"/>
          <w:szCs w:val="22"/>
        </w:rPr>
        <w:t xml:space="preserve">Section 2 describes the system architecture. Section 3 presents the scoring model and all formula components. Section 4 analyzes model properties and compares against alternative designs. Section 5 addresses ethical considerations and failure modes. Section 6 presents the research validation agenda. Section 7 discusses implications and limitations. Section 8 concludes.</w:t>
      </w:r>
    </w:p>
    <w:p>
      <w:pPr>
        <w:spacing w:after="160" w:before="0"/>
      </w:pPr>
    </w:p>
    <w:p>
      <w:pPr>
        <w:pStyle w:val="Heading1"/>
        <w:spacing w:after="160" w:before="360"/>
      </w:pPr>
      <w:r>
        <w:rPr>
          <w:rFonts w:ascii="Arial" w:cs="Arial" w:eastAsia="Arial" w:hAnsi="Arial"/>
          <w:b/>
          <w:bCs/>
          <w:color w:val="1F3864"/>
          <w:sz w:val="28"/>
          <w:szCs w:val="28"/>
        </w:rPr>
        <w:t xml:space="preserve">2. System Architecture</w:t>
      </w:r>
    </w:p>
    <w:p>
      <w:pPr>
        <w:spacing w:after="120" w:before="80"/>
      </w:pPr>
      <w:r>
        <w:rPr>
          <w:rFonts w:ascii="Arial" w:cs="Arial" w:eastAsia="Arial" w:hAnsi="Arial"/>
          <w:color w:val="000000"/>
          <w:sz w:val="22"/>
          <w:szCs w:val="22"/>
        </w:rPr>
        <w:t xml:space="preserve">As illustrated in Figure 1, the Ganesh-Standard framework is structured as a four-layer sequential pipeline. Each layer encapsulates a distinct class of operations, enabling modular updating, audit transparency, and component-level validation.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6"/>
              <w:left w:val="single" w:color="1F3864" w:sz="6"/>
              <w:bottom w:val="single" w:color="1F3864" w:sz="6"/>
              <w:right w:val="single" w:color="1F3864" w:sz="6"/>
            </w:tcBorders>
            <w:shd w:fill="F2F4F6" w:val="clear"/>
            <w:tcMar>
              <w:top w:type="dxa" w:w="160"/>
              <w:left w:type="dxa" w:w="240"/>
              <w:bottom w:type="dxa" w:w="160"/>
              <w:right w:type="dxa" w:w="240"/>
            </w:tcMar>
          </w:tcPr>
          <w:p>
            <w:pPr>
              <w:spacing w:after="80" w:before="60"/>
              <w:jc w:val="center"/>
            </w:pPr>
            <w:r>
              <w:rPr>
                <w:rFonts w:ascii="Arial" w:cs="Arial" w:eastAsia="Arial" w:hAnsi="Arial"/>
                <w:b/>
                <w:bCs/>
                <w:color w:val="1F3864"/>
                <w:sz w:val="19"/>
                <w:szCs w:val="19"/>
              </w:rPr>
              <w:t xml:space="preserve">LAYER 1: USER INTERFACE</w:t>
            </w:r>
          </w:p>
          <w:p>
            <w:pPr>
              <w:spacing w:after="80" w:before="0"/>
              <w:jc w:val="center"/>
            </w:pPr>
            <w:r>
              <w:rPr>
                <w:rFonts w:ascii="Arial" w:cs="Arial" w:eastAsia="Arial" w:hAnsi="Arial"/>
                <w:color w:val="4A4A4A"/>
                <w:sz w:val="18"/>
                <w:szCs w:val="18"/>
              </w:rPr>
              <w:t xml:space="preserve">Web / Mobile App  →  Effort (hours) | Skills | Proof Type | Recurring Flag</w:t>
            </w:r>
          </w:p>
          <w:p>
            <w:pPr>
              <w:spacing w:after="80" w:before="0"/>
              <w:jc w:val="center"/>
            </w:pPr>
            <w:r>
              <w:rPr>
                <w:rFonts w:ascii="Arial" w:cs="Arial" w:eastAsia="Arial" w:hAnsi="Arial"/>
                <w:b/>
                <w:bCs/>
                <w:color w:val="1B6B8A"/>
                <w:sz w:val="22"/>
                <w:szCs w:val="22"/>
              </w:rPr>
              <w:t xml:space="preserve">▼</w:t>
            </w:r>
          </w:p>
          <w:p>
            <w:pPr>
              <w:spacing w:after="80" w:before="60"/>
              <w:jc w:val="center"/>
            </w:pPr>
            <w:r>
              <w:rPr>
                <w:rFonts w:ascii="Arial" w:cs="Arial" w:eastAsia="Arial" w:hAnsi="Arial"/>
                <w:b/>
                <w:bCs/>
                <w:color w:val="1F3864"/>
                <w:sz w:val="19"/>
                <w:szCs w:val="19"/>
              </w:rPr>
              <w:t xml:space="preserve">LAYER 2: VALIDATION LAYER</w:t>
            </w:r>
          </w:p>
          <w:p>
            <w:pPr>
              <w:spacing w:after="80" w:before="0"/>
              <w:jc w:val="center"/>
            </w:pPr>
            <w:r>
              <w:rPr>
                <w:rFonts w:ascii="Arial" w:cs="Arial" w:eastAsia="Arial" w:hAnsi="Arial"/>
                <w:color w:val="4A4A4A"/>
                <w:sz w:val="18"/>
                <w:szCs w:val="18"/>
              </w:rPr>
              <w:t xml:space="preserve">AI-Enhanced Audit  |  Community Attestation  |  Data Normalization</w:t>
            </w:r>
          </w:p>
          <w:p>
            <w:pPr>
              <w:spacing w:after="80" w:before="0"/>
              <w:jc w:val="center"/>
            </w:pPr>
            <w:r>
              <w:rPr>
                <w:rFonts w:ascii="Arial" w:cs="Arial" w:eastAsia="Arial" w:hAnsi="Arial"/>
                <w:b/>
                <w:bCs/>
                <w:color w:val="1B6B8A"/>
                <w:sz w:val="22"/>
                <w:szCs w:val="22"/>
              </w:rPr>
              <w:t xml:space="preserve">▼</w:t>
            </w:r>
          </w:p>
          <w:p>
            <w:pPr>
              <w:spacing w:after="80" w:before="60"/>
              <w:jc w:val="center"/>
            </w:pPr>
            <w:r>
              <w:rPr>
                <w:rFonts w:ascii="Arial" w:cs="Arial" w:eastAsia="Arial" w:hAnsi="Arial"/>
                <w:b/>
                <w:bCs/>
                <w:color w:val="1F3864"/>
                <w:sz w:val="19"/>
                <w:szCs w:val="19"/>
              </w:rPr>
              <w:t xml:space="preserve">LAYER 3: GANESH SCORING ENGINE</w:t>
            </w:r>
          </w:p>
          <w:p>
            <w:pPr>
              <w:spacing w:after="80" w:before="0"/>
              <w:jc w:val="center"/>
            </w:pPr>
            <w:r>
              <w:rPr>
                <w:rFonts w:ascii="Arial" w:cs="Arial" w:eastAsia="Arial" w:hAnsi="Arial"/>
                <w:color w:val="4A4A4A"/>
                <w:sz w:val="18"/>
                <w:szCs w:val="18"/>
              </w:rPr>
              <w:t xml:space="preserve">Step 1: Effort Transformation (Eq. 1)  →  Step 2: Tier Evaluation  →  Step 3: Multiplier Calculation (Eq. 2)  →  Step 4: Cap Enforcement (M_max = 2.0)  →  Step 5: Final Score (Eq. 3)</w:t>
            </w:r>
          </w:p>
          <w:p>
            <w:pPr>
              <w:spacing w:after="80" w:before="0"/>
              <w:jc w:val="center"/>
            </w:pPr>
            <w:r>
              <w:rPr>
                <w:rFonts w:ascii="Arial" w:cs="Arial" w:eastAsia="Arial" w:hAnsi="Arial"/>
                <w:b/>
                <w:bCs/>
                <w:color w:val="1B6B8A"/>
                <w:sz w:val="22"/>
                <w:szCs w:val="22"/>
              </w:rPr>
              <w:t xml:space="preserve">▼</w:t>
            </w:r>
          </w:p>
          <w:p>
            <w:pPr>
              <w:spacing w:after="80" w:before="60"/>
              <w:jc w:val="center"/>
            </w:pPr>
            <w:r>
              <w:rPr>
                <w:rFonts w:ascii="Arial" w:cs="Arial" w:eastAsia="Arial" w:hAnsi="Arial"/>
                <w:b/>
                <w:bCs/>
                <w:color w:val="1F3864"/>
                <w:sz w:val="19"/>
                <w:szCs w:val="19"/>
              </w:rPr>
              <w:t xml:space="preserve">LAYER 4: AUDIT LEDGER &amp; ANALYTICS</w:t>
            </w:r>
          </w:p>
          <w:p>
            <w:pPr>
              <w:spacing w:after="60" w:before="0"/>
              <w:jc w:val="center"/>
            </w:pPr>
            <w:r>
              <w:rPr>
                <w:rFonts w:ascii="Arial" w:cs="Arial" w:eastAsia="Arial" w:hAnsi="Arial"/>
                <w:color w:val="4A4A4A"/>
                <w:sz w:val="18"/>
                <w:szCs w:val="18"/>
              </w:rPr>
              <w:t xml:space="preserve">Immutable Audit Log  |  Weekly Cap Tracking  |  Fairness Monitoring (Gini Coefficient)</w:t>
            </w:r>
          </w:p>
        </w:tc>
      </w:tr>
    </w:tbl>
    <w:p>
      <w:pPr>
        <w:spacing w:after="180" w:before="60"/>
        <w:jc w:val="center"/>
      </w:pPr>
      <w:r>
        <w:rPr>
          <w:rFonts w:ascii="Arial" w:cs="Arial" w:eastAsia="Arial" w:hAnsi="Arial"/>
          <w:i/>
          <w:iCs/>
          <w:color w:val="4A4A4A"/>
          <w:sz w:val="18"/>
          <w:szCs w:val="18"/>
        </w:rPr>
        <w:t xml:space="preserve">Figure 1. System architecture of the Ganesh-Standard scoring framework. Data flows sequentially from user submission through validation, scoring, and immutable ledger recording.</w:t>
      </w:r>
    </w:p>
    <w:p>
      <w:pPr>
        <w:spacing w:after="120" w:before="80"/>
      </w:pPr>
      <w:r>
        <w:rPr>
          <w:rFonts w:ascii="Arial" w:cs="Arial" w:eastAsia="Arial" w:hAnsi="Arial"/>
          <w:color w:val="000000"/>
          <w:sz w:val="22"/>
          <w:szCs w:val="22"/>
        </w:rPr>
        <w:t xml:space="preserve">The validation layer is pivotal: it determines verification multiplier weights and filters potential gaming inputs before they enter the scoring engine. Community attestation (Mv = 1.1) is explicitly designed as a democratic alternative for volunteers who lack access to institutional documentation, addressing the structural access inequality identified in the historical voluntary action literature (Wagner, 2015).</w:t>
      </w:r>
    </w:p>
    <w:p>
      <w:pPr>
        <w:spacing w:after="160" w:before="0"/>
      </w:pPr>
    </w:p>
    <w:p>
      <w:pPr>
        <w:pStyle w:val="Heading1"/>
        <w:spacing w:after="160" w:before="360"/>
      </w:pPr>
      <w:r>
        <w:rPr>
          <w:rFonts w:ascii="Arial" w:cs="Arial" w:eastAsia="Arial" w:hAnsi="Arial"/>
          <w:b/>
          <w:bCs/>
          <w:color w:val="1F3864"/>
          <w:sz w:val="28"/>
          <w:szCs w:val="28"/>
        </w:rPr>
        <w:t xml:space="preserve">3. The Ganesh-Standard Scoring Model</w:t>
      </w:r>
    </w:p>
    <w:p>
      <w:pPr>
        <w:pStyle w:val="Heading2"/>
        <w:spacing w:after="120" w:before="280"/>
      </w:pPr>
      <w:r>
        <w:rPr>
          <w:rFonts w:ascii="Arial" w:cs="Arial" w:eastAsia="Arial" w:hAnsi="Arial"/>
          <w:b/>
          <w:bCs/>
          <w:color w:val="1B6B8A"/>
          <w:sz w:val="24"/>
          <w:szCs w:val="24"/>
        </w:rPr>
        <w:t xml:space="preserve">3.1 Conceptual Foundations</w:t>
      </w:r>
    </w:p>
    <w:p>
      <w:pPr>
        <w:spacing w:after="120" w:before="80"/>
      </w:pPr>
      <w:r>
        <w:rPr>
          <w:rFonts w:ascii="Arial" w:cs="Arial" w:eastAsia="Arial" w:hAnsi="Arial"/>
          <w:color w:val="000000"/>
          <w:sz w:val="22"/>
          <w:szCs w:val="22"/>
        </w:rPr>
        <w:t xml:space="preserve">The framework draws selectively on established theoretical traditions. The Alkire-Foster multidimensional poverty method motivates threshold-based recognition across contribution dimensions. Subjective logic (Jøsang, 1996) formalizes trust as an evidence-weighted construct, informing verification credibility weights. The Shapley value (1953) motivates the importance of marginal contribution in group settings, approximated here through skill diversity heuristics. Capital theory (Bourdieu; Putnam) grounds the three multiplier domains as human, social, and cultural capital respectively.</w:t>
      </w:r>
    </w:p>
    <w:p>
      <w:pPr>
        <w:pBdr>
          <w:left w:val="thick" w:color="C9A84C" w:sz="12" w:space="6"/>
        </w:pBdr>
        <w:spacing w:after="120" w:before="120"/>
        <w:ind w:left="720" w:right="720"/>
      </w:pPr>
      <w:r>
        <w:rPr>
          <w:rFonts w:ascii="Arial" w:cs="Arial" w:eastAsia="Arial" w:hAnsi="Arial"/>
          <w:i/>
          <w:iCs/>
          <w:color w:val="4A4A4A"/>
          <w:sz w:val="21"/>
          <w:szCs w:val="21"/>
        </w:rPr>
        <w:t xml:space="preserve">Critical note: The Ganesh-Standard does not directly implement these theoretical models, but rather employs heuristic approximations inspired by their core mechanisms. All parameter values are provisional and subject to empirical calibration.</w:t>
      </w:r>
    </w:p>
    <w:p>
      <w:pPr>
        <w:pStyle w:val="Heading2"/>
        <w:spacing w:after="120" w:before="280"/>
      </w:pPr>
      <w:r>
        <w:rPr>
          <w:rFonts w:ascii="Arial" w:cs="Arial" w:eastAsia="Arial" w:hAnsi="Arial"/>
          <w:b/>
          <w:bCs/>
          <w:color w:val="1B6B8A"/>
          <w:sz w:val="24"/>
          <w:szCs w:val="24"/>
        </w:rPr>
        <w:t xml:space="preserve">3.2 Effort Modeling with Diminishing Returns (Equation 1)</w:t>
      </w:r>
    </w:p>
    <w:p>
      <w:pPr>
        <w:spacing w:after="120" w:before="80"/>
      </w:pPr>
      <w:r>
        <w:rPr>
          <w:rFonts w:ascii="Arial" w:cs="Arial" w:eastAsia="Arial" w:hAnsi="Arial"/>
          <w:color w:val="000000"/>
          <w:sz w:val="22"/>
          <w:szCs w:val="22"/>
        </w:rPr>
        <w:t xml:space="preserve">Raw effort (E, measured in hours) is transformed into effective effort (E') using a piecewise log-linear function that imposes diminishing marginal returns beyond a threshold:</w:t>
      </w:r>
    </w:p>
    <w:p>
      <w:pPr>
        <w:spacing w:after="80" w:before="0"/>
      </w:pPr>
    </w:p>
    <w:tbl>
      <w:tblPr>
        <w:tblW w:type="dxa" w:w="6240"/>
        <w:tblBorders>
          <w:top w:val="single" w:color="auto" w:sz="4"/>
          <w:left w:val="single" w:color="auto" w:sz="4"/>
          <w:bottom w:val="single" w:color="auto" w:sz="4"/>
          <w:right w:val="single" w:color="auto" w:sz="4"/>
          <w:insideH w:val="single" w:color="auto" w:sz="4"/>
          <w:insideV w:val="single" w:color="auto" w:sz="4"/>
        </w:tblBorders>
      </w:tblPr>
      <w:tblGrid>
        <w:gridCol w:w="6240"/>
      </w:tblGrid>
      <w:tr>
        <w:tc>
          <w:tcPr>
            <w:tcBorders>
              <w:top w:val="single" w:color="BBBBBB" w:sz="1"/>
              <w:left w:val="single" w:color="BBBBBB" w:sz="1"/>
              <w:bottom w:val="single" w:color="BBBBBB" w:sz="1"/>
              <w:right w:val="single" w:color="BBBBBB" w:sz="1"/>
            </w:tcBorders>
            <w:shd w:fill="F2F4F6" w:val="clear"/>
            <w:tcMar>
              <w:top w:type="dxa" w:w="120"/>
              <w:left w:type="dxa" w:w="240"/>
              <w:bottom w:type="dxa" w:w="120"/>
              <w:right w:type="dxa" w:w="240"/>
            </w:tcMar>
          </w:tcPr>
          <w:p>
            <w:pPr>
              <w:jc w:val="center"/>
            </w:pPr>
            <w:r>
              <w:rPr>
                <w:rFonts w:ascii="Courier New" w:cs="Courier New" w:eastAsia="Courier New" w:hAnsi="Courier New"/>
                <w:sz w:val="21"/>
                <w:szCs w:val="21"/>
              </w:rPr>
              <w:t xml:space="preserve">E' = E                                       if E ≤ τ</w:t>
            </w:r>
          </w:p>
          <w:p>
            <w:pPr>
              <w:jc w:val="center"/>
            </w:pPr>
            <w:r>
              <w:rPr>
                <w:rFonts w:ascii="Courier New" w:cs="Courier New" w:eastAsia="Courier New" w:hAnsi="Courier New"/>
                <w:sz w:val="21"/>
                <w:szCs w:val="21"/>
              </w:rPr>
              <w:t xml:space="preserve">E' = τ + α · log(E − τ + 1)         if E &gt; τ</w:t>
            </w:r>
          </w:p>
          <w:p>
            <w:pPr>
              <w:spacing w:before="80"/>
              <w:jc w:val="center"/>
            </w:pPr>
            <w:r>
              <w:rPr>
                <w:rFonts w:ascii="Arial" w:cs="Arial" w:eastAsia="Arial" w:hAnsi="Arial"/>
                <w:i/>
                <w:iCs/>
                <w:color w:val="4A4A4A"/>
                <w:sz w:val="18"/>
                <w:szCs w:val="18"/>
              </w:rPr>
              <w:t xml:space="preserve">(Equation 1)</w:t>
            </w:r>
          </w:p>
        </w:tc>
      </w:tr>
    </w:tbl>
    <w:p>
      <w:pPr>
        <w:spacing w:after="80" w:before="0"/>
      </w:pPr>
    </w:p>
    <w:p>
      <w:pPr>
        <w:spacing w:after="120" w:before="80"/>
      </w:pPr>
      <w:r>
        <w:rPr>
          <w:rFonts w:ascii="Arial" w:cs="Arial" w:eastAsia="Arial" w:hAnsi="Arial"/>
          <w:b/>
          <w:bCs/>
          <w:sz w:val="22"/>
          <w:szCs w:val="22"/>
        </w:rPr>
        <w:t xml:space="preserve">Parameter justification: </w:t>
      </w:r>
      <w:r>
        <w:rPr>
          <w:rFonts w:ascii="Arial" w:cs="Arial" w:eastAsia="Arial" w:hAnsi="Arial"/>
          <w:sz w:val="22"/>
          <w:szCs w:val="22"/>
        </w:rPr>
        <w:t xml:space="preserve">The threshold τ = 20 hours reflects ethnographic input from diaspora organization leaders, indicating that approximately 92% of volunteers contribute fewer than 20 hours per month. Beyond this threshold, marginal disutility begins to exceed marginal utility, consistent with net-cost theory (Wilson &amp; Musick, 1997). The scaling coefficient α = 5 was selected in pilot consultation; empirical calibration via parameter recovery simulation (Study 1, Section 6) will establish whether this value minimizes bias. Organizations may adjust both parameters to match local contribution distributions.</w:t>
      </w:r>
    </w:p>
    <w:p>
      <w:pPr>
        <w:pStyle w:val="Heading2"/>
        <w:spacing w:after="120" w:before="280"/>
      </w:pPr>
      <w:r>
        <w:rPr>
          <w:rFonts w:ascii="Arial" w:cs="Arial" w:eastAsia="Arial" w:hAnsi="Arial"/>
          <w:b/>
          <w:bCs/>
          <w:color w:val="1B6B8A"/>
          <w:sz w:val="24"/>
          <w:szCs w:val="24"/>
        </w:rPr>
        <w:t xml:space="preserve">3.3 Tier-Based Recognition</w:t>
      </w:r>
    </w:p>
    <w:p>
      <w:pPr>
        <w:spacing w:after="120" w:before="80"/>
      </w:pPr>
      <w:r>
        <w:rPr>
          <w:rFonts w:ascii="Arial" w:cs="Arial" w:eastAsia="Arial" w:hAnsi="Arial"/>
          <w:color w:val="000000"/>
          <w:sz w:val="22"/>
          <w:szCs w:val="22"/>
        </w:rPr>
        <w:t xml:space="preserve">Tier bonuses (T) provide discrete recognition milestones when accumulated effort crosses defined thresholds. Inspired by multidimensional thresholding approaches (Alkire &amp; Foster, 2011), these milestones serve both incentive and communicative functions—providing volunteers with concrete advancement targets that are interpretable without technical knowledge.</w:t>
      </w:r>
    </w:p>
    <w:p>
      <w:pPr>
        <w:pStyle w:val="Heading2"/>
        <w:spacing w:after="120" w:before="280"/>
      </w:pPr>
      <w:r>
        <w:rPr>
          <w:rFonts w:ascii="Arial" w:cs="Arial" w:eastAsia="Arial" w:hAnsi="Arial"/>
          <w:b/>
          <w:bCs/>
          <w:color w:val="1B6B8A"/>
          <w:sz w:val="24"/>
          <w:szCs w:val="24"/>
        </w:rPr>
        <w:t xml:space="preserve">3.4 Multiplier Architecture (Equation 2)</w:t>
      </w:r>
    </w:p>
    <w:p>
      <w:pPr>
        <w:spacing w:after="120" w:before="80"/>
      </w:pPr>
      <w:r>
        <w:rPr>
          <w:rFonts w:ascii="Arial" w:cs="Arial" w:eastAsia="Arial" w:hAnsi="Arial"/>
          <w:color w:val="000000"/>
          <w:sz w:val="22"/>
          <w:szCs w:val="22"/>
        </w:rPr>
        <w:t xml:space="preserve">The combined multiplier M aggregates four capital dimensions subject to a global cap:</w:t>
      </w:r>
    </w:p>
    <w:p>
      <w:pPr>
        <w:spacing w:after="80" w:before="0"/>
      </w:pPr>
    </w:p>
    <w:tbl>
      <w:tblPr>
        <w:tblW w:type="dxa" w:w="6240"/>
        <w:tblBorders>
          <w:top w:val="single" w:color="auto" w:sz="4"/>
          <w:left w:val="single" w:color="auto" w:sz="4"/>
          <w:bottom w:val="single" w:color="auto" w:sz="4"/>
          <w:right w:val="single" w:color="auto" w:sz="4"/>
          <w:insideH w:val="single" w:color="auto" w:sz="4"/>
          <w:insideV w:val="single" w:color="auto" w:sz="4"/>
        </w:tblBorders>
      </w:tblPr>
      <w:tblGrid>
        <w:gridCol w:w="6240"/>
      </w:tblGrid>
      <w:tr>
        <w:tc>
          <w:tcPr>
            <w:tcBorders>
              <w:top w:val="single" w:color="BBBBBB" w:sz="1"/>
              <w:left w:val="single" w:color="BBBBBB" w:sz="1"/>
              <w:bottom w:val="single" w:color="BBBBBB" w:sz="1"/>
              <w:right w:val="single" w:color="BBBBBB" w:sz="1"/>
            </w:tcBorders>
            <w:shd w:fill="F2F4F6" w:val="clear"/>
            <w:tcMar>
              <w:top w:type="dxa" w:w="120"/>
              <w:left w:type="dxa" w:w="240"/>
              <w:bottom w:type="dxa" w:w="120"/>
              <w:right w:type="dxa" w:w="240"/>
            </w:tcMar>
          </w:tcPr>
          <w:p>
            <w:pPr>
              <w:jc w:val="center"/>
            </w:pPr>
            <w:r>
              <w:rPr>
                <w:rFonts w:ascii="Courier New" w:cs="Courier New" w:eastAsia="Courier New" w:hAnsi="Courier New"/>
                <w:sz w:val="21"/>
                <w:szCs w:val="21"/>
              </w:rPr>
              <w:t xml:space="preserve">M = min(M_max,  M_s · M_v · M_c · M_b)</w:t>
            </w:r>
          </w:p>
          <w:p>
            <w:pPr>
              <w:spacing w:before="80"/>
              <w:jc w:val="center"/>
            </w:pPr>
            <w:r>
              <w:rPr>
                <w:rFonts w:ascii="Arial" w:cs="Arial" w:eastAsia="Arial" w:hAnsi="Arial"/>
                <w:i/>
                <w:iCs/>
                <w:color w:val="4A4A4A"/>
                <w:sz w:val="18"/>
                <w:szCs w:val="18"/>
              </w:rPr>
              <w:t xml:space="preserve">(Equation 2)</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1500"/>
        <w:gridCol w:w="4860"/>
      </w:tblGrid>
      <w:tr>
        <w:trPr>
          <w:tblHeader/>
        </w:trPr>
        <w:tc>
          <w:tcPr>
            <w:tcW w:type="dxa" w:w="9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Symbol</w:t>
            </w:r>
          </w:p>
        </w:tc>
        <w:tc>
          <w:tcPr>
            <w:tcW w:type="dxa" w:w="21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Multiplier</w:t>
            </w:r>
          </w:p>
        </w:tc>
        <w:tc>
          <w:tcPr>
            <w:tcW w:type="dxa" w:w="15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Range</w:t>
            </w:r>
          </w:p>
        </w:tc>
        <w:tc>
          <w:tcPr>
            <w:tcW w:type="dxa" w:w="48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Theoretical Grounding</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M_s</w:t>
            </w:r>
          </w:p>
        </w:tc>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Skill Diversity</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1.0 / 1.2 / 1.5</w:t>
            </w:r>
          </w:p>
        </w:tc>
        <w:tc>
          <w:tcPr>
            <w:tcW w:type="dxa" w:w="48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Biological market theory (Noë &amp; Hammerstein, 1994); Human capital theory</w:t>
            </w:r>
          </w:p>
        </w:tc>
      </w:tr>
      <w:tr>
        <w:tc>
          <w:tcPr>
            <w:tcW w:type="dxa" w:w="900"/>
            <w:tcBorders>
              <w:top w:val="single" w:color="BBBBBB" w:sz="1"/>
              <w:left w:val="single" w:color="BBBBBB" w:sz="1"/>
              <w:bottom w:val="single" w:color="BBBBBB" w:sz="1"/>
              <w:right w:val="single" w:color="BBBBBB"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M_v</w:t>
            </w:r>
          </w:p>
        </w:tc>
        <w:tc>
          <w:tcPr>
            <w:tcW w:type="dxa" w:w="2100"/>
            <w:tcBorders>
              <w:top w:val="single" w:color="BBBBBB" w:sz="1"/>
              <w:left w:val="single" w:color="BBBBBB" w:sz="1"/>
              <w:bottom w:val="single" w:color="BBBBBB" w:sz="1"/>
              <w:right w:val="single" w:color="BBBBBB"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Verification Credibility</w:t>
            </w:r>
          </w:p>
        </w:tc>
        <w:tc>
          <w:tcPr>
            <w:tcW w:type="dxa" w:w="1500"/>
            <w:tcBorders>
              <w:top w:val="single" w:color="BBBBBB" w:sz="1"/>
              <w:left w:val="single" w:color="BBBBBB" w:sz="1"/>
              <w:bottom w:val="single" w:color="BBBBBB" w:sz="1"/>
              <w:right w:val="single" w:color="BBBBBB"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1.0 / 1.1 / 1.2</w:t>
            </w:r>
          </w:p>
        </w:tc>
        <w:tc>
          <w:tcPr>
            <w:tcW w:type="dxa" w:w="4860"/>
            <w:tcBorders>
              <w:top w:val="single" w:color="BBBBBB" w:sz="1"/>
              <w:left w:val="single" w:color="BBBBBB" w:sz="1"/>
              <w:bottom w:val="single" w:color="BBBBBB" w:sz="1"/>
              <w:right w:val="single" w:color="BBBBBB"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Subjective logic (Jøsang, 1996); Institutional critique (Wagner, 2015)</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M_c</w:t>
            </w:r>
          </w:p>
        </w:tc>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Collaboration / Sustainability</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1.0–1.3 (capped)</w:t>
            </w:r>
          </w:p>
        </w:tc>
        <w:tc>
          <w:tcPr>
            <w:tcW w:type="dxa" w:w="48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Social capital; Ant synergy (Carlesso et al., 2025) vs. social loafing (Latané et al., 1979)</w:t>
            </w:r>
          </w:p>
        </w:tc>
      </w:tr>
      <w:tr>
        <w:tc>
          <w:tcPr>
            <w:tcW w:type="dxa" w:w="900"/>
            <w:tcBorders>
              <w:top w:val="single" w:color="BBBBBB" w:sz="1"/>
              <w:left w:val="single" w:color="BBBBBB" w:sz="1"/>
              <w:bottom w:val="single" w:color="BBBBBB" w:sz="1"/>
              <w:right w:val="single" w:color="BBBBBB"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M_b</w:t>
            </w:r>
          </w:p>
        </w:tc>
        <w:tc>
          <w:tcPr>
            <w:tcW w:type="dxa" w:w="2100"/>
            <w:tcBorders>
              <w:top w:val="single" w:color="BBBBBB" w:sz="1"/>
              <w:left w:val="single" w:color="BBBBBB" w:sz="1"/>
              <w:bottom w:val="single" w:color="BBBBBB" w:sz="1"/>
              <w:right w:val="single" w:color="BBBBBB"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Bonding Help [NEW]</w:t>
            </w:r>
          </w:p>
        </w:tc>
        <w:tc>
          <w:tcPr>
            <w:tcW w:type="dxa" w:w="1500"/>
            <w:tcBorders>
              <w:top w:val="single" w:color="BBBBBB" w:sz="1"/>
              <w:left w:val="single" w:color="BBBBBB" w:sz="1"/>
              <w:bottom w:val="single" w:color="BBBBBB" w:sz="1"/>
              <w:right w:val="single" w:color="BBBBBB"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1.0 (configurable)</w:t>
            </w:r>
          </w:p>
        </w:tc>
        <w:tc>
          <w:tcPr>
            <w:tcW w:type="dxa" w:w="4860"/>
            <w:tcBorders>
              <w:top w:val="single" w:color="BBBBBB" w:sz="1"/>
              <w:left w:val="single" w:color="BBBBBB" w:sz="1"/>
              <w:bottom w:val="single" w:color="BBBBBB" w:sz="1"/>
              <w:right w:val="single" w:color="BBBBBB"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Kin selection (Hamilton, 1964); Caregiver recognition (Reinhart, 2025; Kramer, 2015)</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M_max</w:t>
            </w:r>
          </w:p>
        </w:tc>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Global Cap</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2.0</w:t>
            </w:r>
          </w:p>
        </w:tc>
        <w:tc>
          <w:tcPr>
            <w:tcW w:type="dxa" w:w="48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Conservative design; prevents runaway amplification and strategic stacking</w:t>
            </w:r>
          </w:p>
        </w:tc>
      </w:tr>
    </w:tbl>
    <w:p>
      <w:pPr>
        <w:spacing w:after="180" w:before="60"/>
        <w:jc w:val="center"/>
      </w:pPr>
      <w:r>
        <w:rPr>
          <w:rFonts w:ascii="Arial" w:cs="Arial" w:eastAsia="Arial" w:hAnsi="Arial"/>
          <w:i/>
          <w:iCs/>
          <w:color w:val="4A4A4A"/>
          <w:sz w:val="18"/>
          <w:szCs w:val="18"/>
        </w:rPr>
        <w:t xml:space="preserve">Table 1. Multiplier components of the Ganesh-Standard Formula with theoretical grounding and default values.</w:t>
      </w:r>
    </w:p>
    <w:p>
      <w:pPr>
        <w:pStyle w:val="Heading3"/>
        <w:spacing w:after="100" w:before="200"/>
      </w:pPr>
      <w:r>
        <w:rPr>
          <w:rFonts w:ascii="Arial" w:cs="Arial" w:eastAsia="Arial" w:hAnsi="Arial"/>
          <w:b/>
          <w:bCs/>
          <w:color w:val="4A4A4A"/>
          <w:sz w:val="22"/>
          <w:szCs w:val="22"/>
        </w:rPr>
        <w:t xml:space="preserve">3.4.1  Skill Diversity Multiplier (M_s)</w:t>
      </w:r>
    </w:p>
    <w:p>
      <w:pPr>
        <w:spacing w:after="120" w:before="80"/>
      </w:pPr>
      <w:r>
        <w:rPr>
          <w:rFonts w:ascii="Arial" w:cs="Arial" w:eastAsia="Arial" w:hAnsi="Arial"/>
          <w:color w:val="000000"/>
          <w:sz w:val="22"/>
          <w:szCs w:val="22"/>
        </w:rPr>
        <w:t xml:space="preserve">Skill diversity is used as a proxy for collaborative value, approximating the biological market intuition that rare and complementary skills command higher exchange value. A single skill yields M_s = 1.0; two distinct skills yield 1.2; three or more yield 1.5. This is an intentional simplification—it captures the directional effect without requiring the computational complexity of a full Shapley value calculation.</w:t>
      </w:r>
    </w:p>
    <w:p>
      <w:pPr>
        <w:pStyle w:val="Heading3"/>
        <w:spacing w:after="100" w:before="200"/>
      </w:pPr>
      <w:r>
        <w:rPr>
          <w:rFonts w:ascii="Arial" w:cs="Arial" w:eastAsia="Arial" w:hAnsi="Arial"/>
          <w:b/>
          <w:bCs/>
          <w:color w:val="4A4A4A"/>
          <w:sz w:val="22"/>
          <w:szCs w:val="22"/>
        </w:rPr>
        <w:t xml:space="preserve">3.4.2  Verification Credibility Multiplier (M_v)</w:t>
      </w:r>
    </w:p>
    <w:p>
      <w:pPr>
        <w:spacing w:after="120" w:before="80"/>
      </w:pPr>
      <w:r>
        <w:rPr>
          <w:rFonts w:ascii="Arial" w:cs="Arial" w:eastAsia="Arial" w:hAnsi="Arial"/>
          <w:color w:val="000000"/>
          <w:sz w:val="22"/>
          <w:szCs w:val="22"/>
        </w:rPr>
        <w:t xml:space="preserve">Verification weights reflect confidence in reported contributions, drawing on subjective logic's treatment of trust as evidence-dependent:</w:t>
      </w:r>
    </w:p>
    <w:p>
      <w:pPr>
        <w:pStyle w:val="ListParagraph"/>
        <w:numPr>
          <w:ilvl w:val="0"/>
          <w:numId w:val="2"/>
        </w:numPr>
        <w:spacing w:after="60" w:before="60"/>
      </w:pPr>
      <w:r>
        <w:rPr>
          <w:rFonts w:ascii="Arial" w:cs="Arial" w:eastAsia="Arial" w:hAnsi="Arial"/>
          <w:sz w:val="22"/>
          <w:szCs w:val="22"/>
        </w:rPr>
        <w:t xml:space="preserve">Self-reported (unverified):  M_v = 1.0</w:t>
      </w:r>
    </w:p>
    <w:p>
      <w:pPr>
        <w:pStyle w:val="ListParagraph"/>
        <w:numPr>
          <w:ilvl w:val="0"/>
          <w:numId w:val="2"/>
        </w:numPr>
        <w:spacing w:after="60" w:before="60"/>
      </w:pPr>
      <w:r>
        <w:rPr>
          <w:rFonts w:ascii="Arial" w:cs="Arial" w:eastAsia="Arial" w:hAnsi="Arial"/>
          <w:sz w:val="22"/>
          <w:szCs w:val="22"/>
        </w:rPr>
        <w:t xml:space="preserve">Bonding help / caregiving:  M_v = 1.0  [NEW — see Section 3.4.4]</w:t>
      </w:r>
    </w:p>
    <w:p>
      <w:pPr>
        <w:pStyle w:val="ListParagraph"/>
        <w:numPr>
          <w:ilvl w:val="0"/>
          <w:numId w:val="2"/>
        </w:numPr>
        <w:spacing w:after="60" w:before="60"/>
      </w:pPr>
      <w:r>
        <w:rPr>
          <w:rFonts w:ascii="Arial" w:cs="Arial" w:eastAsia="Arial" w:hAnsi="Arial"/>
          <w:sz w:val="22"/>
          <w:szCs w:val="22"/>
        </w:rPr>
        <w:t xml:space="preserve">Community attestation:  M_v = 1.1</w:t>
      </w:r>
    </w:p>
    <w:p>
      <w:pPr>
        <w:pStyle w:val="ListParagraph"/>
        <w:numPr>
          <w:ilvl w:val="0"/>
          <w:numId w:val="2"/>
        </w:numPr>
        <w:spacing w:after="60" w:before="60"/>
      </w:pPr>
      <w:r>
        <w:rPr>
          <w:rFonts w:ascii="Arial" w:cs="Arial" w:eastAsia="Arial" w:hAnsi="Arial"/>
          <w:sz w:val="22"/>
          <w:szCs w:val="22"/>
        </w:rPr>
        <w:t xml:space="preserve">Institutional validation:  M_v = 1.2</w:t>
      </w:r>
    </w:p>
    <w:p>
      <w:pPr>
        <w:spacing w:after="60" w:before="0"/>
      </w:pPr>
    </w:p>
    <w:p>
      <w:pPr>
        <w:spacing w:after="120" w:before="80"/>
      </w:pPr>
      <w:r>
        <w:rPr>
          <w:rFonts w:ascii="Arial" w:cs="Arial" w:eastAsia="Arial" w:hAnsi="Arial"/>
          <w:color w:val="000000"/>
          <w:sz w:val="22"/>
          <w:szCs w:val="22"/>
        </w:rPr>
        <w:t xml:space="preserve">Community attestation is deliberately designed as a democratic pathway for volunteers in developing regions or informal economies who cannot access institutional documentation, directly responding to the access inequality critique (Wagner, 2015).</w:t>
      </w:r>
    </w:p>
    <w:p>
      <w:pPr>
        <w:pStyle w:val="Heading3"/>
        <w:spacing w:after="100" w:before="200"/>
      </w:pPr>
      <w:r>
        <w:rPr>
          <w:rFonts w:ascii="Arial" w:cs="Arial" w:eastAsia="Arial" w:hAnsi="Arial"/>
          <w:b/>
          <w:bCs/>
          <w:color w:val="4A4A4A"/>
          <w:sz w:val="22"/>
          <w:szCs w:val="22"/>
        </w:rPr>
        <w:t xml:space="preserve">3.4.3  Collaboration and Sustainability Multiplier (M_c)</w:t>
      </w:r>
    </w:p>
    <w:p>
      <w:pPr>
        <w:spacing w:after="120" w:before="80"/>
      </w:pPr>
      <w:r>
        <w:rPr>
          <w:rFonts w:ascii="Arial" w:cs="Arial" w:eastAsia="Arial" w:hAnsi="Arial"/>
          <w:color w:val="000000"/>
          <w:sz w:val="22"/>
          <w:szCs w:val="22"/>
        </w:rPr>
        <w:t xml:space="preserve">Recurring contributions receive a modest multiplier (up to 1.3×) reflecting long-term community impact over episodic action. This is grounded in the reflexive volunteering literature (Hustinx, 2010) and the empirical finding that sustained cooperation yields super-linear returns in some biological and human systems (Carlesso et al., 2025). The cap prevents the social loafing problem (Ringelmann, 1913; Latané et al., 1979) by attributing individual contributions explicitly.</w:t>
      </w:r>
    </w:p>
    <w:p>
      <w:pPr>
        <w:pStyle w:val="Heading3"/>
        <w:spacing w:after="100" w:before="200"/>
      </w:pPr>
      <w:r>
        <w:rPr>
          <w:rFonts w:ascii="Arial" w:cs="Arial" w:eastAsia="Arial" w:hAnsi="Arial"/>
          <w:b/>
          <w:bCs/>
          <w:color w:val="4A4A4A"/>
          <w:sz w:val="22"/>
          <w:szCs w:val="22"/>
        </w:rPr>
        <w:t xml:space="preserve">3.4.4  Bonding Help Multiplier (M_b) — Critical Addition</w:t>
      </w:r>
    </w:p>
    <w:p>
      <w:pPr>
        <w:spacing w:after="120" w:before="80"/>
      </w:pPr>
      <w:r>
        <w:rPr>
          <w:rFonts w:ascii="Arial" w:cs="Arial" w:eastAsia="Arial" w:hAnsi="Arial"/>
          <w:sz w:val="22"/>
          <w:szCs w:val="22"/>
        </w:rPr>
        <w:t xml:space="preserve">The original Ganesh-Standard implicitly assumed all recognized contributions were </w:t>
      </w:r>
      <w:r>
        <w:rPr>
          <w:rFonts w:ascii="Arial" w:cs="Arial" w:eastAsia="Arial" w:hAnsi="Arial"/>
          <w:i/>
          <w:iCs/>
          <w:color w:val="4A4A4A"/>
          <w:sz w:val="22"/>
          <w:szCs w:val="22"/>
        </w:rPr>
        <w:t xml:space="preserve">bridging help</w:t>
      </w:r>
      <w:r>
        <w:rPr>
          <w:rFonts w:ascii="Arial" w:cs="Arial" w:eastAsia="Arial" w:hAnsi="Arial"/>
          <w:sz w:val="22"/>
          <w:szCs w:val="22"/>
        </w:rPr>
        <w:t xml:space="preserve"> — volunteering for formal organizational tasks. This reproduces a systematic devaluation of caregiving, family support, and intra-community bonding labor—contributions disproportionately performed by women, lower-SES members, and people of color (Reinhart, 2025; Kramer &amp; Krüger, 2015).</w:t>
      </w:r>
    </w:p>
    <w:p>
      <w:pPr>
        <w:spacing w:after="120" w:before="80"/>
      </w:pPr>
      <w:r>
        <w:rPr>
          <w:rFonts w:ascii="Arial" w:cs="Arial" w:eastAsia="Arial" w:hAnsi="Arial"/>
          <w:color w:val="000000"/>
          <w:sz w:val="22"/>
          <w:szCs w:val="22"/>
        </w:rPr>
        <w:t xml:space="preserve">We introduce M_b = 1.0 as a deliberate political and theoretical statement: bonding help is not worth less than formal organizational volunteering. It is recognized as a legitimate contribution category on equal footing with self-reported bridging contributions. Setting M_b at parity rather than higher reflects that bonding help typically lacks the public verification and skill specialization that justify elevated multipliers—but it is explicitly not penalized. Organizations may raise M_b based on their values and community composition.</w:t>
      </w:r>
    </w:p>
    <w:p>
      <w:pPr>
        <w:spacing w:after="120" w:before="80"/>
      </w:pPr>
      <w:r>
        <w:rPr>
          <w:rFonts w:ascii="Arial" w:cs="Arial" w:eastAsia="Arial" w:hAnsi="Arial"/>
          <w:color w:val="000000"/>
          <w:sz w:val="22"/>
          <w:szCs w:val="22"/>
        </w:rPr>
        <w:t xml:space="preserve">Additionally, a discretionary Bonding Bonus (B_b) is available for sustained caregiving contributions exceeding a defined threshold (e.g., &gt; 50 hours/month), enabling organizations to provide enhanced recognition for intensive caring labor without embedding this into the default scoring engine.</w:t>
      </w:r>
    </w:p>
    <w:p>
      <w:pPr>
        <w:pStyle w:val="Heading2"/>
        <w:spacing w:after="120" w:before="280"/>
      </w:pPr>
      <w:r>
        <w:rPr>
          <w:rFonts w:ascii="Arial" w:cs="Arial" w:eastAsia="Arial" w:hAnsi="Arial"/>
          <w:b/>
          <w:bCs/>
          <w:color w:val="1B6B8A"/>
          <w:sz w:val="24"/>
          <w:szCs w:val="24"/>
        </w:rPr>
        <w:t xml:space="preserve">3.5 Anti-Gaming Constraints</w:t>
      </w:r>
    </w:p>
    <w:p>
      <w:pPr>
        <w:spacing w:after="120" w:before="80"/>
      </w:pPr>
      <w:r>
        <w:rPr>
          <w:rFonts w:ascii="Arial" w:cs="Arial" w:eastAsia="Arial" w:hAnsi="Arial"/>
          <w:color w:val="000000"/>
          <w:sz w:val="22"/>
          <w:szCs w:val="22"/>
        </w:rPr>
        <w:t xml:space="preserve">A weekly cap (C_weekly = 100 points by default) limits micro-contribution fragmentation—the practice of splitting a single task into many sub-tasks to exploit flat effort-to-points conversion at low effort levels. This constraint is empirically motivated by Chen et al.'s (2009) finding that ranking stability can be maintained despite large individual changes, suggesting that caps do not materially distort the informational value of scores.</w:t>
      </w:r>
    </w:p>
    <w:p>
      <w:pPr>
        <w:pStyle w:val="Heading2"/>
        <w:spacing w:after="120" w:before="280"/>
      </w:pPr>
      <w:r>
        <w:rPr>
          <w:rFonts w:ascii="Arial" w:cs="Arial" w:eastAsia="Arial" w:hAnsi="Arial"/>
          <w:b/>
          <w:bCs/>
          <w:color w:val="1B6B8A"/>
          <w:sz w:val="24"/>
          <w:szCs w:val="24"/>
        </w:rPr>
        <w:t xml:space="preserve">3.6 Final Score Calculation (Equation 3)</w:t>
      </w:r>
    </w:p>
    <w:p>
      <w:pPr>
        <w:spacing w:after="120" w:before="80"/>
      </w:pPr>
      <w:r>
        <w:rPr>
          <w:rFonts w:ascii="Arial" w:cs="Arial" w:eastAsia="Arial" w:hAnsi="Arial"/>
          <w:color w:val="000000"/>
          <w:sz w:val="22"/>
          <w:szCs w:val="22"/>
        </w:rPr>
        <w:t xml:space="preserve">The final contribution score P combines the transformed, tiered, and multiplied subtotal with discrete outcome bonuses:</w:t>
      </w:r>
    </w:p>
    <w:p>
      <w:pPr>
        <w:spacing w:after="80" w:before="0"/>
      </w:pPr>
    </w:p>
    <w:tbl>
      <w:tblPr>
        <w:tblW w:type="dxa" w:w="6240"/>
        <w:tblBorders>
          <w:top w:val="single" w:color="auto" w:sz="4"/>
          <w:left w:val="single" w:color="auto" w:sz="4"/>
          <w:bottom w:val="single" w:color="auto" w:sz="4"/>
          <w:right w:val="single" w:color="auto" w:sz="4"/>
          <w:insideH w:val="single" w:color="auto" w:sz="4"/>
          <w:insideV w:val="single" w:color="auto" w:sz="4"/>
        </w:tblBorders>
      </w:tblPr>
      <w:tblGrid>
        <w:gridCol w:w="6240"/>
      </w:tblGrid>
      <w:tr>
        <w:tc>
          <w:tcPr>
            <w:tcBorders>
              <w:top w:val="single" w:color="BBBBBB" w:sz="1"/>
              <w:left w:val="single" w:color="BBBBBB" w:sz="1"/>
              <w:bottom w:val="single" w:color="BBBBBB" w:sz="1"/>
              <w:right w:val="single" w:color="BBBBBB" w:sz="1"/>
            </w:tcBorders>
            <w:shd w:fill="F2F4F6" w:val="clear"/>
            <w:tcMar>
              <w:top w:type="dxa" w:w="120"/>
              <w:left w:type="dxa" w:w="240"/>
              <w:bottom w:type="dxa" w:w="120"/>
              <w:right w:type="dxa" w:w="240"/>
            </w:tcMar>
          </w:tcPr>
          <w:p>
            <w:pPr>
              <w:jc w:val="center"/>
            </w:pPr>
            <w:r>
              <w:rPr>
                <w:rFonts w:ascii="Courier New" w:cs="Courier New" w:eastAsia="Courier New" w:hAnsi="Courier New"/>
                <w:sz w:val="21"/>
                <w:szCs w:val="21"/>
              </w:rPr>
              <w:t xml:space="preserve">P = ⌊ (E' + T) · M ⌋  +  O  +  B_b</w:t>
            </w:r>
          </w:p>
          <w:p>
            <w:pPr>
              <w:spacing w:before="80"/>
              <w:jc w:val="center"/>
            </w:pPr>
            <w:r>
              <w:rPr>
                <w:rFonts w:ascii="Arial" w:cs="Arial" w:eastAsia="Arial" w:hAnsi="Arial"/>
                <w:i/>
                <w:iCs/>
                <w:color w:val="4A4A4A"/>
                <w:sz w:val="18"/>
                <w:szCs w:val="18"/>
              </w:rPr>
              <w:t xml:space="preserve">(Equation 3)</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1500"/>
        <w:gridCol w:w="4860"/>
      </w:tblGrid>
      <w:tr>
        <w:trPr>
          <w:tblHeader/>
        </w:trPr>
        <w:tc>
          <w:tcPr>
            <w:tcW w:type="dxa" w:w="9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Symbol</w:t>
            </w:r>
          </w:p>
        </w:tc>
        <w:tc>
          <w:tcPr>
            <w:tcW w:type="dxa" w:w="21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Meaning</w:t>
            </w:r>
          </w:p>
        </w:tc>
        <w:tc>
          <w:tcPr>
            <w:tcW w:type="dxa" w:w="15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Default</w:t>
            </w:r>
          </w:p>
        </w:tc>
        <w:tc>
          <w:tcPr>
            <w:tcW w:type="dxa" w:w="48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Key Evidence</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w:t>
            </w:r>
          </w:p>
        </w:tc>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Effective effort (diminishing returns applied)</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τ=20, α=5</w:t>
            </w:r>
          </w:p>
        </w:tc>
        <w:tc>
          <w:tcPr>
            <w:tcW w:type="dxa" w:w="48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Net-cost theory (Wilson &amp; Musick, 1997)</w:t>
            </w:r>
          </w:p>
        </w:tc>
      </w:tr>
      <w:tr>
        <w:tc>
          <w:tcPr>
            <w:tcW w:type="dxa" w:w="900"/>
            <w:tcBorders>
              <w:top w:val="single" w:color="BBBBBB" w:sz="1"/>
              <w:left w:val="single" w:color="BBBBBB" w:sz="1"/>
              <w:bottom w:val="single" w:color="BBBBBB" w:sz="1"/>
              <w:right w:val="single" w:color="BBBBBB"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w:t>
            </w:r>
          </w:p>
        </w:tc>
        <w:tc>
          <w:tcPr>
            <w:tcW w:type="dxa" w:w="2100"/>
            <w:tcBorders>
              <w:top w:val="single" w:color="BBBBBB" w:sz="1"/>
              <w:left w:val="single" w:color="BBBBBB" w:sz="1"/>
              <w:bottom w:val="single" w:color="BBBBBB" w:sz="1"/>
              <w:right w:val="single" w:color="BBBBBB"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Tier-based recognition bonus</w:t>
            </w:r>
          </w:p>
        </w:tc>
        <w:tc>
          <w:tcPr>
            <w:tcW w:type="dxa" w:w="1500"/>
            <w:tcBorders>
              <w:top w:val="single" w:color="BBBBBB" w:sz="1"/>
              <w:left w:val="single" w:color="BBBBBB" w:sz="1"/>
              <w:bottom w:val="single" w:color="BBBBBB" w:sz="1"/>
              <w:right w:val="single" w:color="BBBBBB"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Configurable</w:t>
            </w:r>
          </w:p>
        </w:tc>
        <w:tc>
          <w:tcPr>
            <w:tcW w:type="dxa" w:w="4860"/>
            <w:tcBorders>
              <w:top w:val="single" w:color="BBBBBB" w:sz="1"/>
              <w:left w:val="single" w:color="BBBBBB" w:sz="1"/>
              <w:bottom w:val="single" w:color="BBBBBB" w:sz="1"/>
              <w:right w:val="single" w:color="BBBBBB"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Alkire-Foster multidimensional thresholding (2011)</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w:t>
            </w:r>
          </w:p>
        </w:tc>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Combined multiplier (capped)</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 2.0</w:t>
            </w:r>
          </w:p>
        </w:tc>
        <w:tc>
          <w:tcPr>
            <w:tcW w:type="dxa" w:w="48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Eq. 2; conservative amplification bound</w:t>
            </w:r>
          </w:p>
        </w:tc>
      </w:tr>
      <w:tr>
        <w:tc>
          <w:tcPr>
            <w:tcW w:type="dxa" w:w="900"/>
            <w:tcBorders>
              <w:top w:val="single" w:color="BBBBBB" w:sz="1"/>
              <w:left w:val="single" w:color="BBBBBB" w:sz="1"/>
              <w:bottom w:val="single" w:color="BBBBBB" w:sz="1"/>
              <w:right w:val="single" w:color="BBBBBB"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O</w:t>
            </w:r>
          </w:p>
        </w:tc>
        <w:tc>
          <w:tcPr>
            <w:tcW w:type="dxa" w:w="2100"/>
            <w:tcBorders>
              <w:top w:val="single" w:color="BBBBBB" w:sz="1"/>
              <w:left w:val="single" w:color="BBBBBB" w:sz="1"/>
              <w:bottom w:val="single" w:color="BBBBBB" w:sz="1"/>
              <w:right w:val="single" w:color="BBBBBB"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Outcome / style bonus</w:t>
            </w:r>
          </w:p>
        </w:tc>
        <w:tc>
          <w:tcPr>
            <w:tcW w:type="dxa" w:w="1500"/>
            <w:tcBorders>
              <w:top w:val="single" w:color="BBBBBB" w:sz="1"/>
              <w:left w:val="single" w:color="BBBBBB" w:sz="1"/>
              <w:bottom w:val="single" w:color="BBBBBB" w:sz="1"/>
              <w:right w:val="single" w:color="BBBBBB"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50 (recurring)</w:t>
            </w:r>
          </w:p>
        </w:tc>
        <w:tc>
          <w:tcPr>
            <w:tcW w:type="dxa" w:w="4860"/>
            <w:tcBorders>
              <w:top w:val="single" w:color="BBBBBB" w:sz="1"/>
              <w:left w:val="single" w:color="BBBBBB" w:sz="1"/>
              <w:bottom w:val="single" w:color="BBBBBB" w:sz="1"/>
              <w:right w:val="single" w:color="BBBBBB"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Reflexive volunteering (Hustinx, 2010); episodic styles</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B_b</w:t>
            </w:r>
          </w:p>
        </w:tc>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Bonding bonus (optional)</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0 or configurable</w:t>
            </w:r>
          </w:p>
        </w:tc>
        <w:tc>
          <w:tcPr>
            <w:tcW w:type="dxa" w:w="48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Caregiver recognition (Kramer, 2015; Reinhart, 2025)</w:t>
            </w:r>
          </w:p>
        </w:tc>
      </w:tr>
    </w:tbl>
    <w:p>
      <w:pPr>
        <w:spacing w:after="180" w:before="60"/>
        <w:jc w:val="center"/>
      </w:pPr>
      <w:r>
        <w:rPr>
          <w:rFonts w:ascii="Arial" w:cs="Arial" w:eastAsia="Arial" w:hAnsi="Arial"/>
          <w:i/>
          <w:iCs/>
          <w:color w:val="4A4A4A"/>
          <w:sz w:val="18"/>
          <w:szCs w:val="18"/>
        </w:rPr>
        <w:t xml:space="preserve">Table 2. Complete parameter reference for Equation 3 with defaults and empirical grounding.</w:t>
      </w:r>
    </w:p>
    <w:p>
      <w:pPr>
        <w:spacing w:after="160" w:before="0"/>
      </w:pPr>
    </w:p>
    <w:p>
      <w:pPr>
        <w:pStyle w:val="Heading1"/>
        <w:spacing w:after="160" w:before="360"/>
      </w:pPr>
      <w:r>
        <w:rPr>
          <w:rFonts w:ascii="Arial" w:cs="Arial" w:eastAsia="Arial" w:hAnsi="Arial"/>
          <w:b/>
          <w:bCs/>
          <w:color w:val="1F3864"/>
          <w:sz w:val="28"/>
          <w:szCs w:val="28"/>
        </w:rPr>
        <w:t xml:space="preserve">4. Model Properties, Comparative Analysis, and Design Trade-offs</w:t>
      </w:r>
    </w:p>
    <w:p>
      <w:pPr>
        <w:pStyle w:val="Heading2"/>
        <w:spacing w:after="120" w:before="280"/>
      </w:pPr>
      <w:r>
        <w:rPr>
          <w:rFonts w:ascii="Arial" w:cs="Arial" w:eastAsia="Arial" w:hAnsi="Arial"/>
          <w:b/>
          <w:bCs/>
          <w:color w:val="1B6B8A"/>
          <w:sz w:val="24"/>
          <w:szCs w:val="24"/>
        </w:rPr>
        <w:t xml:space="preserve">4.1 Interpretability and Transparency</w:t>
      </w:r>
    </w:p>
    <w:p>
      <w:pPr>
        <w:spacing w:after="120" w:before="80"/>
      </w:pPr>
      <w:r>
        <w:rPr>
          <w:rFonts w:ascii="Arial" w:cs="Arial" w:eastAsia="Arial" w:hAnsi="Arial"/>
          <w:color w:val="000000"/>
          <w:sz w:val="22"/>
          <w:szCs w:val="22"/>
        </w:rPr>
        <w:t xml:space="preserve">Every component of the Ganesh-Standard is individually decomposable and human-readable. An auditor can reconstruct any score from its inputs without accessing proprietary algorithms. This transparency property is a prerequisite for organizational trust and was identified by participants in the historical voluntary action conference (Kramer &amp; Krüger, 2015) as the primary deficiency of existing recognition systems.</w:t>
      </w:r>
    </w:p>
    <w:p>
      <w:pPr>
        <w:pStyle w:val="Heading2"/>
        <w:spacing w:after="120" w:before="280"/>
      </w:pPr>
      <w:r>
        <w:rPr>
          <w:rFonts w:ascii="Arial" w:cs="Arial" w:eastAsia="Arial" w:hAnsi="Arial"/>
          <w:b/>
          <w:bCs/>
          <w:color w:val="1B6B8A"/>
          <w:sz w:val="24"/>
          <w:szCs w:val="24"/>
        </w:rPr>
        <w:t xml:space="preserve">4.2 Boundedness and Controlled Variance</w:t>
      </w:r>
    </w:p>
    <w:p>
      <w:pPr>
        <w:spacing w:after="120" w:before="80"/>
      </w:pPr>
      <w:r>
        <w:rPr>
          <w:rFonts w:ascii="Arial" w:cs="Arial" w:eastAsia="Arial" w:hAnsi="Arial"/>
          <w:color w:val="000000"/>
          <w:sz w:val="22"/>
          <w:szCs w:val="22"/>
        </w:rPr>
        <w:t xml:space="preserve">The global multiplier cap M_max = 2.0 ensures that no contribution can be amplified beyond double its base effort value, regardless of how many favorable multipliers apply simultaneously. This prevents extreme outliers from dominating leaderboards and maintains meaningful score differentiation across the volunteer population.</w:t>
      </w:r>
    </w:p>
    <w:p>
      <w:pPr>
        <w:pStyle w:val="Heading2"/>
        <w:spacing w:after="120" w:before="280"/>
      </w:pPr>
      <w:r>
        <w:rPr>
          <w:rFonts w:ascii="Arial" w:cs="Arial" w:eastAsia="Arial" w:hAnsi="Arial"/>
          <w:b/>
          <w:bCs/>
          <w:color w:val="1B6B8A"/>
          <w:sz w:val="24"/>
          <w:szCs w:val="24"/>
        </w:rPr>
        <w:t xml:space="preserve">4.3 Comparative Analysis</w:t>
      </w:r>
    </w:p>
    <w:p>
      <w:pPr>
        <w:spacing w:after="120" w:before="80"/>
      </w:pPr>
      <w:r>
        <w:rPr>
          <w:rFonts w:ascii="Arial" w:cs="Arial" w:eastAsia="Arial" w:hAnsi="Arial"/>
          <w:color w:val="000000"/>
          <w:sz w:val="22"/>
          <w:szCs w:val="22"/>
        </w:rPr>
        <w:t xml:space="preserve">Table 3 contrasts the Ganesh-Standard with common alternative designs on dimensions relevant to the diaspora context: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20"/>
        <w:gridCol w:w="2420"/>
        <w:gridCol w:w="2420"/>
      </w:tblGrid>
      <w:tr>
        <w:trPr>
          <w:tblHeader/>
        </w:trPr>
        <w:tc>
          <w:tcPr>
            <w:tcW w:type="dxa" w:w="21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Design</w:t>
            </w:r>
          </w:p>
        </w:tc>
        <w:tc>
          <w:tcPr>
            <w:tcW w:type="dxa" w:w="242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Advantages</w:t>
            </w:r>
          </w:p>
        </w:tc>
        <w:tc>
          <w:tcPr>
            <w:tcW w:type="dxa" w:w="242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Disadvantages</w:t>
            </w:r>
          </w:p>
        </w:tc>
        <w:tc>
          <w:tcPr>
            <w:tcW w:type="dxa" w:w="242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Ganesh-Standard Improvement</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Linear (Points = Hours × k)</w:t>
            </w:r>
          </w:p>
        </w:tc>
        <w:tc>
          <w:tcPr>
            <w:tcW w:type="dxa" w:w="242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Maximum simplicity and transparency</w:t>
            </w:r>
          </w:p>
        </w:tc>
        <w:tc>
          <w:tcPr>
            <w:tcW w:type="dxa" w:w="242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Gameable; ignores quality and collaboration</w:t>
            </w:r>
          </w:p>
        </w:tc>
        <w:tc>
          <w:tcPr>
            <w:tcW w:type="dxa" w:w="242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Diminishing returns and multipliers address both</w:t>
            </w:r>
          </w:p>
        </w:tc>
      </w:tr>
      <w:tr>
        <w:tc>
          <w:tcPr>
            <w:tcW w:type="dxa" w:w="2100"/>
            <w:tcBorders>
              <w:top w:val="single" w:color="BBBBBB" w:sz="1"/>
              <w:left w:val="single" w:color="BBBBBB" w:sz="1"/>
              <w:bottom w:val="single" w:color="BBBBBB" w:sz="1"/>
              <w:right w:val="single" w:color="BBBBBB"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Weighted Sum (aH + bS + cV)</w:t>
            </w:r>
          </w:p>
        </w:tc>
        <w:tc>
          <w:tcPr>
            <w:tcW w:type="dxa" w:w="2420"/>
            <w:tcBorders>
              <w:top w:val="single" w:color="BBBBBB" w:sz="1"/>
              <w:left w:val="single" w:color="BBBBBB" w:sz="1"/>
              <w:bottom w:val="single" w:color="BBBBBB" w:sz="1"/>
              <w:right w:val="single" w:color="BBBBBB"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Multi-dimensional; easy to calculate</w:t>
            </w:r>
          </w:p>
        </w:tc>
        <w:tc>
          <w:tcPr>
            <w:tcW w:type="dxa" w:w="2420"/>
            <w:tcBorders>
              <w:top w:val="single" w:color="BBBBBB" w:sz="1"/>
              <w:left w:val="single" w:color="BBBBBB" w:sz="1"/>
              <w:bottom w:val="single" w:color="BBBBBB" w:sz="1"/>
              <w:right w:val="single" w:color="BBBBBB"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No synergy capture; arbitrary weight assignment</w:t>
            </w:r>
          </w:p>
        </w:tc>
        <w:tc>
          <w:tcPr>
            <w:tcW w:type="dxa" w:w="2420"/>
            <w:tcBorders>
              <w:top w:val="single" w:color="BBBBBB" w:sz="1"/>
              <w:left w:val="single" w:color="BBBBBB" w:sz="1"/>
              <w:bottom w:val="single" w:color="BBBBBB" w:sz="1"/>
              <w:right w:val="single" w:color="BBBBBB"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Multiplicative structure captures cross-dimensional synergies</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PVSA / Volunteer Canada (hours-only tiers)</w:t>
            </w:r>
          </w:p>
        </w:tc>
        <w:tc>
          <w:tcPr>
            <w:tcW w:type="dxa" w:w="242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Simple milestones; public credibility</w:t>
            </w:r>
          </w:p>
        </w:tc>
        <w:tc>
          <w:tcPr>
            <w:tcW w:type="dxa" w:w="242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Unidimensional; no quality recognition; no bonding help</w:t>
            </w:r>
          </w:p>
        </w:tc>
        <w:tc>
          <w:tcPr>
            <w:tcW w:type="dxa" w:w="242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Multi-capital multipliers; explicit bonding help category</w:t>
            </w:r>
          </w:p>
        </w:tc>
      </w:tr>
      <w:tr>
        <w:tc>
          <w:tcPr>
            <w:tcW w:type="dxa" w:w="2100"/>
            <w:tcBorders>
              <w:top w:val="single" w:color="BBBBBB" w:sz="1"/>
              <w:left w:val="single" w:color="BBBBBB" w:sz="1"/>
              <w:bottom w:val="single" w:color="BBBBBB" w:sz="1"/>
              <w:right w:val="single" w:color="BBBBBB"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Ganesh-Standard (Proposed)</w:t>
            </w:r>
          </w:p>
        </w:tc>
        <w:tc>
          <w:tcPr>
            <w:tcW w:type="dxa" w:w="2420"/>
            <w:tcBorders>
              <w:top w:val="single" w:color="BBBBBB" w:sz="1"/>
              <w:left w:val="single" w:color="BBBBBB" w:sz="1"/>
              <w:bottom w:val="single" w:color="BBBBBB" w:sz="1"/>
              <w:right w:val="single" w:color="BBBBBB"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Captures synergy; fair across contribution types; bounded risks</w:t>
            </w:r>
          </w:p>
        </w:tc>
        <w:tc>
          <w:tcPr>
            <w:tcW w:type="dxa" w:w="2420"/>
            <w:tcBorders>
              <w:top w:val="single" w:color="BBBBBB" w:sz="1"/>
              <w:left w:val="single" w:color="BBBBBB" w:sz="1"/>
              <w:bottom w:val="single" w:color="BBBBBB" w:sz="1"/>
              <w:right w:val="single" w:color="BBBBBB"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Higher complexity; parameter calibration required</w:t>
            </w:r>
          </w:p>
        </w:tc>
        <w:tc>
          <w:tcPr>
            <w:tcW w:type="dxa" w:w="2420"/>
            <w:tcBorders>
              <w:top w:val="single" w:color="BBBBBB" w:sz="1"/>
              <w:left w:val="single" w:color="BBBBBB" w:sz="1"/>
              <w:bottom w:val="single" w:color="BBBBBB" w:sz="1"/>
              <w:right w:val="single" w:color="BBBBBB"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 (reference design)</w:t>
            </w:r>
          </w:p>
        </w:tc>
      </w:tr>
    </w:tbl>
    <w:p>
      <w:pPr>
        <w:spacing w:after="180" w:before="60"/>
        <w:jc w:val="center"/>
      </w:pPr>
      <w:r>
        <w:rPr>
          <w:rFonts w:ascii="Arial" w:cs="Arial" w:eastAsia="Arial" w:hAnsi="Arial"/>
          <w:i/>
          <w:iCs/>
          <w:color w:val="4A4A4A"/>
          <w:sz w:val="18"/>
          <w:szCs w:val="18"/>
        </w:rPr>
        <w:t xml:space="preserve">Table 3. Comparative analysis of contribution scoring designs. PVSA = Presidential Volunteer Service Award (USA).</w:t>
      </w:r>
    </w:p>
    <w:p>
      <w:pPr>
        <w:pStyle w:val="Heading2"/>
        <w:spacing w:after="120" w:before="280"/>
      </w:pPr>
      <w:r>
        <w:rPr>
          <w:rFonts w:ascii="Arial" w:cs="Arial" w:eastAsia="Arial" w:hAnsi="Arial"/>
          <w:b/>
          <w:bCs/>
          <w:color w:val="1B6B8A"/>
          <w:sz w:val="24"/>
          <w:szCs w:val="24"/>
        </w:rPr>
        <w:t xml:space="preserve">4.4 Known Failure Modes</w:t>
      </w:r>
    </w:p>
    <w:p>
      <w:pPr>
        <w:spacing w:after="120" w:before="80"/>
      </w:pPr>
      <w:r>
        <w:rPr>
          <w:rFonts w:ascii="Arial" w:cs="Arial" w:eastAsia="Arial" w:hAnsi="Arial"/>
          <w:color w:val="000000"/>
          <w:sz w:val="22"/>
          <w:szCs w:val="22"/>
        </w:rPr>
        <w:t xml:space="preserve">Intellectual honesty requires explicit documentation of design limitations:</w:t>
      </w:r>
    </w:p>
    <w:p>
      <w:pPr>
        <w:pStyle w:val="ListParagraph"/>
        <w:numPr>
          <w:ilvl w:val="0"/>
          <w:numId w:val="2"/>
        </w:numPr>
        <w:spacing w:after="60" w:before="60"/>
      </w:pPr>
      <w:r>
        <w:rPr>
          <w:rFonts w:ascii="Arial" w:cs="Arial" w:eastAsia="Arial" w:hAnsi="Arial"/>
          <w:sz w:val="22"/>
          <w:szCs w:val="22"/>
        </w:rPr>
        <w:t xml:space="preserve">Redundant skills paradox: Current heuristics award the same M_s = 1.5 to a team of three software engineers as to a cross-functional (legal, technical, artistic) team. A semantic skill taxonomy or validated skill-distance metric is needed for precise implementation.</w:t>
      </w:r>
    </w:p>
    <w:p>
      <w:pPr>
        <w:pStyle w:val="ListParagraph"/>
        <w:numPr>
          <w:ilvl w:val="0"/>
          <w:numId w:val="2"/>
        </w:numPr>
        <w:spacing w:after="60" w:before="60"/>
      </w:pPr>
      <w:r>
        <w:rPr>
          <w:rFonts w:ascii="Arial" w:cs="Arial" w:eastAsia="Arial" w:hAnsi="Arial"/>
          <w:sz w:val="22"/>
          <w:szCs w:val="22"/>
        </w:rPr>
        <w:t xml:space="preserve">Access inequality in verification: Volunteers in informal economies or developing regions may systematically receive lower M_v scores due to absence of institutional documentation. Community attestation (M_v = 1.1) partially mitigates this, but may not fully close the gap.</w:t>
      </w:r>
    </w:p>
    <w:p>
      <w:pPr>
        <w:pStyle w:val="ListParagraph"/>
        <w:numPr>
          <w:ilvl w:val="0"/>
          <w:numId w:val="2"/>
        </w:numPr>
        <w:spacing w:after="60" w:before="60"/>
      </w:pPr>
      <w:r>
        <w:rPr>
          <w:rFonts w:ascii="Arial" w:cs="Arial" w:eastAsia="Arial" w:hAnsi="Arial"/>
          <w:sz w:val="22"/>
          <w:szCs w:val="22"/>
        </w:rPr>
        <w:t xml:space="preserve">Cultural variation in contribution types: The model's categories were derived in part from Northern European voluntary action traditions and may not map cleanly onto all diaspora contexts.</w:t>
      </w:r>
    </w:p>
    <w:p>
      <w:pPr>
        <w:pStyle w:val="ListParagraph"/>
        <w:numPr>
          <w:ilvl w:val="0"/>
          <w:numId w:val="2"/>
        </w:numPr>
        <w:spacing w:after="60" w:before="60"/>
      </w:pPr>
      <w:r>
        <w:rPr>
          <w:rFonts w:ascii="Arial" w:cs="Arial" w:eastAsia="Arial" w:hAnsi="Arial"/>
          <w:sz w:val="22"/>
          <w:szCs w:val="22"/>
        </w:rPr>
        <w:t xml:space="preserve">Time as a proxy for impact: Effective effort E' remains proxied by hours contributed. Impact and effort are not equivalent, particularly for high-skill, short-duration contributions.</w:t>
      </w:r>
    </w:p>
    <w:p>
      <w:pPr>
        <w:spacing w:after="160" w:before="0"/>
      </w:pPr>
    </w:p>
    <w:p>
      <w:pPr>
        <w:pStyle w:val="Heading1"/>
        <w:spacing w:after="160" w:before="360"/>
      </w:pPr>
      <w:r>
        <w:rPr>
          <w:rFonts w:ascii="Arial" w:cs="Arial" w:eastAsia="Arial" w:hAnsi="Arial"/>
          <w:b/>
          <w:bCs/>
          <w:color w:val="1F3864"/>
          <w:sz w:val="28"/>
          <w:szCs w:val="28"/>
        </w:rPr>
        <w:t xml:space="preserve">5. Ethical Considerations</w:t>
      </w:r>
    </w:p>
    <w:p>
      <w:pPr>
        <w:pStyle w:val="Heading2"/>
        <w:spacing w:after="120" w:before="280"/>
      </w:pPr>
      <w:r>
        <w:rPr>
          <w:rFonts w:ascii="Arial" w:cs="Arial" w:eastAsia="Arial" w:hAnsi="Arial"/>
          <w:b/>
          <w:bCs/>
          <w:color w:val="1B6B8A"/>
          <w:sz w:val="24"/>
          <w:szCs w:val="24"/>
        </w:rPr>
        <w:t xml:space="preserve">5.1 Fairness Architecture</w:t>
      </w:r>
    </w:p>
    <w:p>
      <w:pPr>
        <w:spacing w:after="120" w:before="80"/>
      </w:pPr>
      <w:r>
        <w:rPr>
          <w:rFonts w:ascii="Arial" w:cs="Arial" w:eastAsia="Arial" w:hAnsi="Arial"/>
          <w:color w:val="000000"/>
          <w:sz w:val="22"/>
          <w:szCs w:val="22"/>
        </w:rPr>
        <w:t xml:space="preserve">The model explicitly rejects the Matthew Effect—the tendency of recognition systems to concentrate rewards among already-high-scoring individuals. The multiplier cap, bonding help parity, community attestation pathways, and weekly contribution ceilings all work against cumulative advantage. A Fairness Audit module computes the Gini coefficient of score distributions at regular intervals; distributions exceeding a predetermined threshold trigger organizational review.</w:t>
      </w:r>
    </w:p>
    <w:p>
      <w:pPr>
        <w:pStyle w:val="Heading2"/>
        <w:spacing w:after="120" w:before="280"/>
      </w:pPr>
      <w:r>
        <w:rPr>
          <w:rFonts w:ascii="Arial" w:cs="Arial" w:eastAsia="Arial" w:hAnsi="Arial"/>
          <w:b/>
          <w:bCs/>
          <w:color w:val="1B6B8A"/>
          <w:sz w:val="24"/>
          <w:szCs w:val="24"/>
        </w:rPr>
        <w:t xml:space="preserve">5.2 Data Governance</w:t>
      </w:r>
    </w:p>
    <w:p>
      <w:pPr>
        <w:spacing w:after="120" w:before="80"/>
      </w:pPr>
      <w:r>
        <w:rPr>
          <w:rFonts w:ascii="Arial" w:cs="Arial" w:eastAsia="Arial" w:hAnsi="Arial"/>
          <w:color w:val="000000"/>
          <w:sz w:val="22"/>
          <w:szCs w:val="22"/>
        </w:rPr>
        <w:t xml:space="preserve">Leaderboard participation is strictly opt-in. Aggregate anonymized data is used exclusively for fairness auditing and system calibration. No individual-level data is shared with third parties. An immutable audit log enables post-hoc verification of any score, providing a basis for formal dispute resolution.</w:t>
      </w:r>
    </w:p>
    <w:p>
      <w:pPr>
        <w:pStyle w:val="Heading2"/>
        <w:spacing w:after="120" w:before="280"/>
      </w:pPr>
      <w:r>
        <w:rPr>
          <w:rFonts w:ascii="Arial" w:cs="Arial" w:eastAsia="Arial" w:hAnsi="Arial"/>
          <w:b/>
          <w:bCs/>
          <w:color w:val="1B6B8A"/>
          <w:sz w:val="24"/>
          <w:szCs w:val="24"/>
        </w:rPr>
        <w:t xml:space="preserve">5.3 Feedback Personalization Ethics</w:t>
      </w:r>
    </w:p>
    <w:p>
      <w:pPr>
        <w:spacing w:after="120" w:before="80"/>
      </w:pPr>
      <w:r>
        <w:rPr>
          <w:rFonts w:ascii="Arial" w:cs="Arial" w:eastAsia="Arial" w:hAnsi="Arial"/>
          <w:color w:val="000000"/>
          <w:sz w:val="22"/>
          <w:szCs w:val="22"/>
        </w:rPr>
        <w:t xml:space="preserve">The social comparison feedback matrix (described in Section 6.3) uses behavioral segmentation to tailor motivational messages. This personalization must not be used to manipulate or deceive volunteers. Display rules are made publicly available to all users. The altruism onboarding survey is voluntary, anonymized, and used solely for feedback personalization—never for scoring.</w:t>
      </w:r>
    </w:p>
    <w:p>
      <w:pPr>
        <w:pStyle w:val="Heading2"/>
        <w:spacing w:after="120" w:before="280"/>
      </w:pPr>
      <w:r>
        <w:rPr>
          <w:rFonts w:ascii="Arial" w:cs="Arial" w:eastAsia="Arial" w:hAnsi="Arial"/>
          <w:b/>
          <w:bCs/>
          <w:color w:val="1B6B8A"/>
          <w:sz w:val="24"/>
          <w:szCs w:val="24"/>
        </w:rPr>
        <w:t xml:space="preserve">5.4 Reproductive Justice and Gender Equity</w:t>
      </w:r>
    </w:p>
    <w:p>
      <w:pPr>
        <w:spacing w:after="120" w:before="80"/>
      </w:pPr>
      <w:r>
        <w:rPr>
          <w:rFonts w:ascii="Arial" w:cs="Arial" w:eastAsia="Arial" w:hAnsi="Arial"/>
          <w:color w:val="000000"/>
          <w:sz w:val="22"/>
          <w:szCs w:val="22"/>
        </w:rPr>
        <w:t xml:space="preserve">The explicit introduction of the bonding help category (M_b) is both a technical and political act. It operationalizes the principle that caregiving labor—disproportionately performed by women and often structurally invisible in formal organizational systems—is a legitimate and valued contribution. Reinhart (2025) documents how perceived social contribution systematically disadvantages individuals performing bonding help. This formula directly addresses that bias at the architectural level.</w:t>
      </w:r>
    </w:p>
    <w:p>
      <w:pPr>
        <w:spacing w:after="160" w:before="0"/>
      </w:pPr>
    </w:p>
    <w:p>
      <w:pPr>
        <w:pStyle w:val="Heading1"/>
        <w:spacing w:after="160" w:before="360"/>
      </w:pPr>
      <w:r>
        <w:rPr>
          <w:rFonts w:ascii="Arial" w:cs="Arial" w:eastAsia="Arial" w:hAnsi="Arial"/>
          <w:b/>
          <w:bCs/>
          <w:color w:val="1F3864"/>
          <w:sz w:val="28"/>
          <w:szCs w:val="28"/>
        </w:rPr>
        <w:t xml:space="preserve">6. Research Validation Agenda</w:t>
      </w:r>
    </w:p>
    <w:p>
      <w:pPr>
        <w:pStyle w:val="Heading2"/>
        <w:spacing w:after="120" w:before="280"/>
      </w:pPr>
      <w:r>
        <w:rPr>
          <w:rFonts w:ascii="Arial" w:cs="Arial" w:eastAsia="Arial" w:hAnsi="Arial"/>
          <w:b/>
          <w:bCs/>
          <w:color w:val="1B6B8A"/>
          <w:sz w:val="24"/>
          <w:szCs w:val="24"/>
        </w:rPr>
        <w:t xml:space="preserve">6.1 Testable Hypotheses</w:t>
      </w:r>
    </w:p>
    <w:p>
      <w:pPr>
        <w:spacing w:after="120" w:before="80"/>
      </w:pPr>
      <w:r>
        <w:rPr>
          <w:rFonts w:ascii="Arial" w:cs="Arial" w:eastAsia="Arial" w:hAnsi="Arial"/>
          <w:color w:val="000000"/>
          <w:sz w:val="22"/>
          <w:szCs w:val="22"/>
        </w:rPr>
        <w:t xml:space="preserve">The following hypotheses are derived from the theoretical and empirical literature reviewed above: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560"/>
        <w:gridCol w:w="2100"/>
        <w:gridCol w:w="1800"/>
      </w:tblGrid>
      <w:tr>
        <w:trPr>
          <w:tblHeader/>
        </w:trPr>
        <w:tc>
          <w:tcPr>
            <w:tcW w:type="dxa" w:w="9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Hyp.</w:t>
            </w:r>
          </w:p>
        </w:tc>
        <w:tc>
          <w:tcPr>
            <w:tcW w:type="dxa" w:w="45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Statement</w:t>
            </w:r>
          </w:p>
        </w:tc>
        <w:tc>
          <w:tcPr>
            <w:tcW w:type="dxa" w:w="21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Theoretical Basis</w:t>
            </w:r>
          </w:p>
        </w:tc>
        <w:tc>
          <w:tcPr>
            <w:tcW w:type="dxa" w:w="1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Study</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H1</w:t>
            </w:r>
          </w:p>
        </w:tc>
        <w:tc>
          <w:tcPr>
            <w:tcW w:type="dxa" w:w="4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Multiplier bounding reduces inequality in score distribution (lower Gini coefficient) compared to unbounded alternatives</w:t>
            </w:r>
          </w:p>
        </w:tc>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Fehr &amp; Schmidt (1999)</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Study 1 &amp; 3</w:t>
            </w:r>
          </w:p>
        </w:tc>
      </w:tr>
      <w:tr>
        <w:tc>
          <w:tcPr>
            <w:tcW w:type="dxa" w:w="900"/>
            <w:tcBorders>
              <w:top w:val="single" w:color="BBBBBB" w:sz="1"/>
              <w:left w:val="single" w:color="BBBBBB" w:sz="1"/>
              <w:bottom w:val="single" w:color="BBBBBB" w:sz="1"/>
              <w:right w:val="single" w:color="BBBBBB"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H2</w:t>
            </w:r>
          </w:p>
        </w:tc>
        <w:tc>
          <w:tcPr>
            <w:tcW w:type="dxa" w:w="4560"/>
            <w:tcBorders>
              <w:top w:val="single" w:color="BBBBBB" w:sz="1"/>
              <w:left w:val="single" w:color="BBBBBB" w:sz="1"/>
              <w:bottom w:val="single" w:color="BBBBBB" w:sz="1"/>
              <w:right w:val="single" w:color="BBBBBB"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Diminishing returns reduce time-based gaming behavior frequency compared to linear scoring</w:t>
            </w:r>
          </w:p>
        </w:tc>
        <w:tc>
          <w:tcPr>
            <w:tcW w:type="dxa" w:w="2100"/>
            <w:tcBorders>
              <w:top w:val="single" w:color="BBBBBB" w:sz="1"/>
              <w:left w:val="single" w:color="BBBBBB" w:sz="1"/>
              <w:bottom w:val="single" w:color="BBBBBB" w:sz="1"/>
              <w:right w:val="single" w:color="BBBBBB"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Net-cost theory; Chen et al. (2009)</w:t>
            </w:r>
          </w:p>
        </w:tc>
        <w:tc>
          <w:tcPr>
            <w:tcW w:type="dxa" w:w="1800"/>
            <w:tcBorders>
              <w:top w:val="single" w:color="BBBBBB" w:sz="1"/>
              <w:left w:val="single" w:color="BBBBBB" w:sz="1"/>
              <w:bottom w:val="single" w:color="BBBBBB" w:sz="1"/>
              <w:right w:val="single" w:color="BBBBBB"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Study 1</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H3</w:t>
            </w:r>
          </w:p>
        </w:tc>
        <w:tc>
          <w:tcPr>
            <w:tcW w:type="dxa" w:w="4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Community attestation pathways increase participation diversity (SES, gender, regional) compared to institutional-only verification</w:t>
            </w:r>
          </w:p>
        </w:tc>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Wagner (2015); Reinhart (2025)</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Study 2 &amp; 3</w:t>
            </w:r>
          </w:p>
        </w:tc>
      </w:tr>
      <w:tr>
        <w:tc>
          <w:tcPr>
            <w:tcW w:type="dxa" w:w="900"/>
            <w:tcBorders>
              <w:top w:val="single" w:color="BBBBBB" w:sz="1"/>
              <w:left w:val="single" w:color="BBBBBB" w:sz="1"/>
              <w:bottom w:val="single" w:color="BBBBBB" w:sz="1"/>
              <w:right w:val="single" w:color="BBBBBB"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H4</w:t>
            </w:r>
          </w:p>
        </w:tc>
        <w:tc>
          <w:tcPr>
            <w:tcW w:type="dxa" w:w="4560"/>
            <w:tcBorders>
              <w:top w:val="single" w:color="BBBBBB" w:sz="1"/>
              <w:left w:val="single" w:color="BBBBBB" w:sz="1"/>
              <w:bottom w:val="single" w:color="BBBBBB" w:sz="1"/>
              <w:right w:val="single" w:color="BBBBBB"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Score transparency (full formula visibility) improves perceived fairness compared to opaque systems</w:t>
            </w:r>
          </w:p>
        </w:tc>
        <w:tc>
          <w:tcPr>
            <w:tcW w:type="dxa" w:w="2100"/>
            <w:tcBorders>
              <w:top w:val="single" w:color="BBBBBB" w:sz="1"/>
              <w:left w:val="single" w:color="BBBBBB" w:sz="1"/>
              <w:bottom w:val="single" w:color="BBBBBB" w:sz="1"/>
              <w:right w:val="single" w:color="BBBBBB"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Fehr &amp; Schmidt (1999)</w:t>
            </w:r>
          </w:p>
        </w:tc>
        <w:tc>
          <w:tcPr>
            <w:tcW w:type="dxa" w:w="1800"/>
            <w:tcBorders>
              <w:top w:val="single" w:color="BBBBBB" w:sz="1"/>
              <w:left w:val="single" w:color="BBBBBB" w:sz="1"/>
              <w:bottom w:val="single" w:color="BBBBBB" w:sz="1"/>
              <w:right w:val="single" w:color="BBBBBB"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Study 2</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H5</w:t>
            </w:r>
          </w:p>
        </w:tc>
        <w:tc>
          <w:tcPr>
            <w:tcW w:type="dxa" w:w="4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Personalized social comparison feedback (below-median: behavioral; above-median altruists: net benefit) increases contribution frequency relative to uniform feedback</w:t>
            </w:r>
          </w:p>
        </w:tc>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Chen et al. (2009); Mavrodiev et al. (2013)</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Study 3</w:t>
            </w:r>
          </w:p>
        </w:tc>
      </w:tr>
    </w:tbl>
    <w:p>
      <w:pPr>
        <w:spacing w:after="180" w:before="60"/>
        <w:jc w:val="center"/>
      </w:pPr>
      <w:r>
        <w:rPr>
          <w:rFonts w:ascii="Arial" w:cs="Arial" w:eastAsia="Arial" w:hAnsi="Arial"/>
          <w:i/>
          <w:iCs/>
          <w:color w:val="4A4A4A"/>
          <w:sz w:val="18"/>
          <w:szCs w:val="18"/>
        </w:rPr>
        <w:t xml:space="preserve">Table 4. Research hypotheses with theoretical grounding and study assignment.</w:t>
      </w:r>
    </w:p>
    <w:p>
      <w:pPr>
        <w:pStyle w:val="Heading2"/>
        <w:spacing w:after="120" w:before="280"/>
      </w:pPr>
      <w:r>
        <w:rPr>
          <w:rFonts w:ascii="Arial" w:cs="Arial" w:eastAsia="Arial" w:hAnsi="Arial"/>
          <w:b/>
          <w:bCs/>
          <w:color w:val="1B6B8A"/>
          <w:sz w:val="24"/>
          <w:szCs w:val="24"/>
        </w:rPr>
        <w:t xml:space="preserve">6.2 Three-Study Validation Design</w:t>
      </w:r>
    </w:p>
    <w:p>
      <w:pPr>
        <w:spacing w:after="120" w:before="80"/>
      </w:pPr>
      <w:r>
        <w:rPr>
          <w:rFonts w:ascii="Arial" w:cs="Arial" w:eastAsia="Arial" w:hAnsi="Arial"/>
          <w:b/>
          <w:bCs/>
          <w:sz w:val="22"/>
          <w:szCs w:val="22"/>
        </w:rPr>
        <w:t xml:space="preserve">Study 1 — Parameter Recovery Simulation: </w:t>
      </w:r>
      <w:r>
        <w:rPr>
          <w:rFonts w:ascii="Arial" w:cs="Arial" w:eastAsia="Arial" w:hAnsi="Arial"/>
          <w:sz w:val="22"/>
          <w:szCs w:val="22"/>
        </w:rPr>
        <w:t xml:space="preserve">Synthetic volunteer contribution data will be generated with known true parameters (τ, α, M_max). The Ganesh-Standard will be tested for its ability to recover these parameters without systematic bias, and sensitivity analysis will identify stable parameter operating ranges. Sample: 10,000 simulated records across 5 parameter configurations.</w:t>
      </w:r>
    </w:p>
    <w:p>
      <w:pPr>
        <w:spacing w:after="120" w:before="80"/>
      </w:pPr>
      <w:r>
        <w:rPr>
          <w:rFonts w:ascii="Arial" w:cs="Arial" w:eastAsia="Arial" w:hAnsi="Arial"/>
          <w:b/>
          <w:bCs/>
          <w:sz w:val="22"/>
          <w:szCs w:val="22"/>
        </w:rPr>
        <w:t xml:space="preserve">Study 2 — Reliability and Perceived Fairness: </w:t>
      </w:r>
      <w:r>
        <w:rPr>
          <w:rFonts w:ascii="Arial" w:cs="Arial" w:eastAsia="Arial" w:hAnsi="Arial"/>
          <w:sz w:val="22"/>
          <w:szCs w:val="22"/>
        </w:rPr>
        <w:t xml:space="preserve">N = 300 volunteers across 3 diaspora organizations will be scored at t1 and t2 (8 weeks apart) using shadow deployment (parallel scoring without replacing existing systems). Test-retest reliability (ICC) and perceived fairness surveys will be administered. Statistical power analysis indicates N = 280 per condition to detect a medium effect size (d = 0.3) with 80% power at α = 0.05.</w:t>
      </w:r>
    </w:p>
    <w:p>
      <w:pPr>
        <w:spacing w:after="120" w:before="80"/>
      </w:pPr>
      <w:r>
        <w:rPr>
          <w:rFonts w:ascii="Arial" w:cs="Arial" w:eastAsia="Arial" w:hAnsi="Arial"/>
          <w:b/>
          <w:bCs/>
          <w:sz w:val="22"/>
          <w:szCs w:val="22"/>
        </w:rPr>
        <w:t xml:space="preserve">Study 3 — Predictive Validity and Engagement: </w:t>
      </w:r>
      <w:r>
        <w:rPr>
          <w:rFonts w:ascii="Arial" w:cs="Arial" w:eastAsia="Arial" w:hAnsi="Arial"/>
          <w:sz w:val="22"/>
          <w:szCs w:val="22"/>
        </w:rPr>
        <w:t xml:space="preserve">A randomized A/B test across 4 organizations will compare the Ganesh-Standard against simpler baseline designs (linear and weighted-sum). Outcomes: 90-day volunteer retention, leadership role uptake, contribution frequency, and Gini coefficient of score distribution. Feedback personalization variants will be tested as a between-subjects factor.</w:t>
      </w:r>
    </w:p>
    <w:p>
      <w:pPr>
        <w:pStyle w:val="Heading2"/>
        <w:spacing w:after="120" w:before="280"/>
      </w:pPr>
      <w:r>
        <w:rPr>
          <w:rFonts w:ascii="Arial" w:cs="Arial" w:eastAsia="Arial" w:hAnsi="Arial"/>
          <w:b/>
          <w:bCs/>
          <w:color w:val="1B6B8A"/>
          <w:sz w:val="24"/>
          <w:szCs w:val="24"/>
        </w:rPr>
        <w:t xml:space="preserve">6.3 Personalized Social Comparison Feedback Architecture</w:t>
      </w:r>
    </w:p>
    <w:p>
      <w:pPr>
        <w:spacing w:after="120" w:before="80"/>
      </w:pPr>
      <w:r>
        <w:rPr>
          <w:rFonts w:ascii="Arial" w:cs="Arial" w:eastAsia="Arial" w:hAnsi="Arial"/>
          <w:color w:val="000000"/>
          <w:sz w:val="22"/>
          <w:szCs w:val="22"/>
        </w:rPr>
        <w:t xml:space="preserve">Building on Chen et al.'s (2009) field experiment demonstrating that the same formula produces opposite motivational effects depending on which comparison information is displayed, we propose a feedback personalization matrix:</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500"/>
        <w:gridCol w:w="3760"/>
      </w:tblGrid>
      <w:tr>
        <w:trPr>
          <w:tblHeader/>
        </w:trPr>
        <w:tc>
          <w:tcPr>
            <w:tcW w:type="dxa" w:w="21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User Segment</w:t>
            </w:r>
          </w:p>
        </w:tc>
        <w:tc>
          <w:tcPr>
            <w:tcW w:type="dxa" w:w="35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Displayed Information</w:t>
            </w:r>
          </w:p>
        </w:tc>
        <w:tc>
          <w:tcPr>
            <w:tcW w:type="dxa" w:w="37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Predicted Effect (from Chen et al., 2009)</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Score &lt; 25th percentile</w:t>
            </w:r>
          </w:p>
        </w:tc>
        <w:tc>
          <w:tcPr>
            <w:tcW w:type="dxa" w:w="3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'Your score is X. The median is Y. Here is how to increase it.'</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530% increase in contributions (behavioral comparison effect)</w:t>
            </w:r>
          </w:p>
        </w:tc>
      </w:tr>
      <w:tr>
        <w:tc>
          <w:tcPr>
            <w:tcW w:type="dxa" w:w="2100"/>
            <w:tcBorders>
              <w:top w:val="single" w:color="BBBBBB" w:sz="1"/>
              <w:left w:val="single" w:color="BBBBBB" w:sz="1"/>
              <w:bottom w:val="single" w:color="BBBBBB" w:sz="1"/>
              <w:right w:val="single" w:color="BBBBBB"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Score 25th–75th percentile</w:t>
            </w:r>
          </w:p>
        </w:tc>
        <w:tc>
          <w:tcPr>
            <w:tcW w:type="dxa" w:w="3500"/>
            <w:tcBorders>
              <w:top w:val="single" w:color="BBBBBB" w:sz="1"/>
              <w:left w:val="single" w:color="BBBBBB" w:sz="1"/>
              <w:bottom w:val="single" w:color="BBBBBB" w:sz="1"/>
              <w:right w:val="single" w:color="BBBBBB"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'You are contributing actively. These tasks match your skills.'</w:t>
            </w:r>
          </w:p>
        </w:tc>
        <w:tc>
          <w:tcPr>
            <w:tcW w:type="dxa" w:w="3760"/>
            <w:tcBorders>
              <w:top w:val="single" w:color="BBBBBB" w:sz="1"/>
              <w:left w:val="single" w:color="BBBBBB" w:sz="1"/>
              <w:bottom w:val="single" w:color="BBBBBB" w:sz="1"/>
              <w:right w:val="single" w:color="BBBBBB"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Maintain stable engagement</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Score &gt; 75th percentile, low altruism profile</w:t>
            </w:r>
          </w:p>
        </w:tc>
        <w:tc>
          <w:tcPr>
            <w:tcW w:type="dxa" w:w="3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'You are a top contributor. Your leadership matters to the community.'</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Status reinforcement; continued competitive altruism</w:t>
            </w:r>
          </w:p>
        </w:tc>
      </w:tr>
      <w:tr>
        <w:tc>
          <w:tcPr>
            <w:tcW w:type="dxa" w:w="2100"/>
            <w:tcBorders>
              <w:top w:val="single" w:color="BBBBBB" w:sz="1"/>
              <w:left w:val="single" w:color="BBBBBB" w:sz="1"/>
              <w:bottom w:val="single" w:color="BBBBBB" w:sz="1"/>
              <w:right w:val="single" w:color="BBBBBB"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Score &gt; 75th percentile, high altruism profile</w:t>
            </w:r>
          </w:p>
        </w:tc>
        <w:tc>
          <w:tcPr>
            <w:tcW w:type="dxa" w:w="3500"/>
            <w:tcBorders>
              <w:top w:val="single" w:color="BBBBBB" w:sz="1"/>
              <w:left w:val="single" w:color="BBBBBB" w:sz="1"/>
              <w:bottom w:val="single" w:color="BBBBBB" w:sz="1"/>
              <w:right w:val="single" w:color="BBBBBB"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'Your help is needed for bonding tasks where impact is highest.'</w:t>
            </w:r>
          </w:p>
        </w:tc>
        <w:tc>
          <w:tcPr>
            <w:tcW w:type="dxa" w:w="3760"/>
            <w:tcBorders>
              <w:top w:val="single" w:color="BBBBBB" w:sz="1"/>
              <w:left w:val="single" w:color="BBBBBB" w:sz="1"/>
              <w:bottom w:val="single" w:color="BBBBBB" w:sz="1"/>
              <w:right w:val="single" w:color="BBBBBB"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Channel toward costly public goods (net benefit effect)</w:t>
            </w:r>
          </w:p>
        </w:tc>
      </w:tr>
    </w:tbl>
    <w:p>
      <w:pPr>
        <w:spacing w:after="180" w:before="60"/>
        <w:jc w:val="center"/>
      </w:pPr>
      <w:r>
        <w:rPr>
          <w:rFonts w:ascii="Arial" w:cs="Arial" w:eastAsia="Arial" w:hAnsi="Arial"/>
          <w:i/>
          <w:iCs/>
          <w:color w:val="4A4A4A"/>
          <w:sz w:val="18"/>
          <w:szCs w:val="18"/>
        </w:rPr>
        <w:t xml:space="preserve">Table 5. Feedback personalization matrix. Altruism profile is determined by optional 3-item onboarding survey. This matrix is a system design feature, not a scoring formula modification.</w:t>
      </w:r>
    </w:p>
    <w:p>
      <w:pPr>
        <w:spacing w:after="120" w:before="80"/>
      </w:pPr>
      <w:r>
        <w:rPr>
          <w:rFonts w:ascii="Arial" w:cs="Arial" w:eastAsia="Arial" w:hAnsi="Arial"/>
          <w:color w:val="000000"/>
          <w:sz w:val="22"/>
          <w:szCs w:val="22"/>
        </w:rPr>
        <w:t xml:space="preserve">Crucially, this personalization does not alter any volunteer's score. It modifies only how the score's informational value is communicated. This architectural separation preserves formula integrity while maximizing behavioral impact at minimal implementation cost.</w:t>
      </w:r>
    </w:p>
    <w:p>
      <w:pPr>
        <w:pStyle w:val="Heading2"/>
        <w:spacing w:after="120" w:before="280"/>
      </w:pPr>
      <w:r>
        <w:rPr>
          <w:rFonts w:ascii="Arial" w:cs="Arial" w:eastAsia="Arial" w:hAnsi="Arial"/>
          <w:b/>
          <w:bCs/>
          <w:color w:val="1B6B8A"/>
          <w:sz w:val="24"/>
          <w:szCs w:val="24"/>
        </w:rPr>
        <w:t xml:space="preserve">6.4 Generalized Reciprocity Prompt</w:t>
      </w:r>
    </w:p>
    <w:p>
      <w:pPr>
        <w:spacing w:after="120" w:before="80"/>
      </w:pPr>
      <w:r>
        <w:rPr>
          <w:rFonts w:ascii="Arial" w:cs="Arial" w:eastAsia="Arial" w:hAnsi="Arial"/>
          <w:color w:val="000000"/>
          <w:sz w:val="22"/>
          <w:szCs w:val="22"/>
        </w:rPr>
        <w:t xml:space="preserve">Based on Rutte &amp; Taborsky (2008) and Rieder et al. (2017), a triggered user interface prompt will be activated when a volunteer's score increases through peer recognition or verification:</w:t>
      </w:r>
    </w:p>
    <w:p>
      <w:pPr>
        <w:pBdr>
          <w:left w:val="thick" w:color="C9A84C" w:sz="12" w:space="6"/>
        </w:pBdr>
        <w:spacing w:after="120" w:before="120"/>
        <w:ind w:left="720" w:right="720"/>
      </w:pPr>
      <w:r>
        <w:rPr>
          <w:rFonts w:ascii="Arial" w:cs="Arial" w:eastAsia="Arial" w:hAnsi="Arial"/>
          <w:i/>
          <w:iCs/>
          <w:color w:val="4A4A4A"/>
          <w:sz w:val="21"/>
          <w:szCs w:val="21"/>
        </w:rPr>
        <w:t xml:space="preserve">'Your contribution has just been recognized by the community. Now help another member. [Show me matching tasks]'</w:t>
      </w:r>
    </w:p>
    <w:p>
      <w:pPr>
        <w:spacing w:after="120" w:before="80"/>
      </w:pPr>
      <w:r>
        <w:rPr>
          <w:rFonts w:ascii="Arial" w:cs="Arial" w:eastAsia="Arial" w:hAnsi="Arial"/>
          <w:color w:val="000000"/>
          <w:sz w:val="22"/>
          <w:szCs w:val="22"/>
        </w:rPr>
        <w:t xml:space="preserve">This operationalizes the generalized reciprocity mechanism—'help anyone if you have been helped by someone'—as a low-friction UI intervention rather than a formula modification.</w:t>
      </w:r>
    </w:p>
    <w:p>
      <w:pPr>
        <w:spacing w:after="160" w:before="0"/>
      </w:pPr>
    </w:p>
    <w:p>
      <w:pPr>
        <w:pStyle w:val="Heading1"/>
        <w:spacing w:after="160" w:before="360"/>
      </w:pPr>
      <w:r>
        <w:rPr>
          <w:rFonts w:ascii="Arial" w:cs="Arial" w:eastAsia="Arial" w:hAnsi="Arial"/>
          <w:b/>
          <w:bCs/>
          <w:color w:val="1F3864"/>
          <w:sz w:val="28"/>
          <w:szCs w:val="28"/>
        </w:rPr>
        <w:t xml:space="preserve">7. Discussion</w:t>
      </w:r>
    </w:p>
    <w:p>
      <w:pPr>
        <w:pStyle w:val="Heading2"/>
        <w:spacing w:after="120" w:before="280"/>
      </w:pPr>
      <w:r>
        <w:rPr>
          <w:rFonts w:ascii="Arial" w:cs="Arial" w:eastAsia="Arial" w:hAnsi="Arial"/>
          <w:b/>
          <w:bCs/>
          <w:color w:val="1B6B8A"/>
          <w:sz w:val="24"/>
          <w:szCs w:val="24"/>
        </w:rPr>
        <w:t xml:space="preserve">7.1 Positioning</w:t>
      </w:r>
    </w:p>
    <w:p>
      <w:pPr>
        <w:spacing w:after="120" w:before="80"/>
      </w:pPr>
      <w:r>
        <w:rPr>
          <w:rFonts w:ascii="Arial" w:cs="Arial" w:eastAsia="Arial" w:hAnsi="Arial"/>
          <w:color w:val="000000"/>
          <w:sz w:val="22"/>
          <w:szCs w:val="22"/>
        </w:rPr>
        <w:t xml:space="preserve">The Ganesh-Standard represents a design-oriented, mechanism-level contribution to the problem of volunteer recognition in diaspora organizations. Its primary value is not theoretical novelty—it explicitly acknowledges itself as a heuristic synthesis—but the rigorous operationalization of fairness as a measurable, auditable, and experimentally testable system property.</w:t>
      </w:r>
    </w:p>
    <w:p>
      <w:pPr>
        <w:spacing w:after="120" w:before="80"/>
      </w:pPr>
      <w:r>
        <w:rPr>
          <w:rFonts w:ascii="Arial" w:cs="Arial" w:eastAsia="Arial" w:hAnsi="Arial"/>
          <w:color w:val="000000"/>
          <w:sz w:val="22"/>
          <w:szCs w:val="22"/>
        </w:rPr>
        <w:t xml:space="preserve">This positions the work within a growing class of socio-technical mechanism design problems in digital communities, where practical deployment constraints require balancing theoretical rigor with usability, and where the absence of any formalized system is itself a source of inequality.</w:t>
      </w:r>
    </w:p>
    <w:p>
      <w:pPr>
        <w:pStyle w:val="Heading2"/>
        <w:spacing w:after="120" w:before="280"/>
      </w:pPr>
      <w:r>
        <w:rPr>
          <w:rFonts w:ascii="Arial" w:cs="Arial" w:eastAsia="Arial" w:hAnsi="Arial"/>
          <w:b/>
          <w:bCs/>
          <w:color w:val="1B6B8A"/>
          <w:sz w:val="24"/>
          <w:szCs w:val="24"/>
        </w:rPr>
        <w:t xml:space="preserve">7.2 Unique Contributions</w:t>
      </w:r>
    </w:p>
    <w:p>
      <w:pPr>
        <w:spacing w:after="120" w:before="80"/>
      </w:pPr>
      <w:r>
        <w:rPr>
          <w:rFonts w:ascii="Arial" w:cs="Arial" w:eastAsia="Arial" w:hAnsi="Arial"/>
          <w:color w:val="000000"/>
          <w:sz w:val="22"/>
          <w:szCs w:val="22"/>
        </w:rPr>
        <w:t xml:space="preserve">Compared to existing approaches, the Ganesh-Standard offers three genuine differentiators:</w:t>
      </w:r>
    </w:p>
    <w:p>
      <w:pPr>
        <w:pStyle w:val="ListParagraph"/>
        <w:numPr>
          <w:ilvl w:val="0"/>
          <w:numId w:val="3"/>
        </w:numPr>
        <w:spacing w:after="60" w:before="60"/>
      </w:pPr>
      <w:r>
        <w:rPr>
          <w:rFonts w:ascii="Arial" w:cs="Arial" w:eastAsia="Arial" w:hAnsi="Arial"/>
          <w:sz w:val="22"/>
          <w:szCs w:val="22"/>
        </w:rPr>
        <w:t xml:space="preserve">It is the first volunteer scoring framework to explicitly integrate the bonding help critique (Reinhart, 2025) at the architectural level, rather than treating caregiving as a conceptual footnote.</w:t>
      </w:r>
    </w:p>
    <w:p>
      <w:pPr>
        <w:pStyle w:val="ListParagraph"/>
        <w:numPr>
          <w:ilvl w:val="0"/>
          <w:numId w:val="3"/>
        </w:numPr>
        <w:spacing w:after="60" w:before="60"/>
      </w:pPr>
      <w:r>
        <w:rPr>
          <w:rFonts w:ascii="Arial" w:cs="Arial" w:eastAsia="Arial" w:hAnsi="Arial"/>
          <w:sz w:val="22"/>
          <w:szCs w:val="22"/>
        </w:rPr>
        <w:t xml:space="preserve">It grounds its behavioral assumptions in evolutionary prosociality and biological market theory, providing a richer explanatory framework than administrative accounting approaches.</w:t>
      </w:r>
    </w:p>
    <w:p>
      <w:pPr>
        <w:pStyle w:val="ListParagraph"/>
        <w:numPr>
          <w:ilvl w:val="0"/>
          <w:numId w:val="3"/>
        </w:numPr>
        <w:spacing w:after="60" w:before="60"/>
      </w:pPr>
      <w:r>
        <w:rPr>
          <w:rFonts w:ascii="Arial" w:cs="Arial" w:eastAsia="Arial" w:hAnsi="Arial"/>
          <w:sz w:val="22"/>
          <w:szCs w:val="22"/>
        </w:rPr>
        <w:t xml:space="preserve">It separates scoring logic from feedback display, enabling behavioral optimization without introducing perverse incentives into the point calculation itself.</w:t>
      </w:r>
    </w:p>
    <w:p>
      <w:pPr>
        <w:pStyle w:val="Heading2"/>
        <w:spacing w:after="120" w:before="280"/>
      </w:pPr>
      <w:r>
        <w:rPr>
          <w:rFonts w:ascii="Arial" w:cs="Arial" w:eastAsia="Arial" w:hAnsi="Arial"/>
          <w:b/>
          <w:bCs/>
          <w:color w:val="1B6B8A"/>
          <w:sz w:val="24"/>
          <w:szCs w:val="24"/>
        </w:rPr>
        <w:t xml:space="preserve">7.3 Limitations</w:t>
      </w:r>
    </w:p>
    <w:p>
      <w:pPr>
        <w:spacing w:after="120" w:before="80"/>
      </w:pPr>
      <w:r>
        <w:rPr>
          <w:rFonts w:ascii="Arial" w:cs="Arial" w:eastAsia="Arial" w:hAnsi="Arial"/>
          <w:color w:val="000000"/>
          <w:sz w:val="22"/>
          <w:szCs w:val="22"/>
        </w:rPr>
        <w:t xml:space="preserve">The framework has significant limitations that must be addressed before claiming generalizability:</w:t>
      </w:r>
    </w:p>
    <w:p>
      <w:pPr>
        <w:pStyle w:val="ListParagraph"/>
        <w:numPr>
          <w:ilvl w:val="0"/>
          <w:numId w:val="2"/>
        </w:numPr>
        <w:spacing w:after="60" w:before="60"/>
      </w:pPr>
      <w:r>
        <w:rPr>
          <w:rFonts w:ascii="Arial" w:cs="Arial" w:eastAsia="Arial" w:hAnsi="Arial"/>
          <w:sz w:val="22"/>
          <w:szCs w:val="22"/>
        </w:rPr>
        <w:t xml:space="preserve">No empirical validation data currently exists. All claims remain theoretical until Studies 1–3 are completed.</w:t>
      </w:r>
    </w:p>
    <w:p>
      <w:pPr>
        <w:pStyle w:val="ListParagraph"/>
        <w:numPr>
          <w:ilvl w:val="0"/>
          <w:numId w:val="2"/>
        </w:numPr>
        <w:spacing w:after="60" w:before="60"/>
      </w:pPr>
      <w:r>
        <w:rPr>
          <w:rFonts w:ascii="Arial" w:cs="Arial" w:eastAsia="Arial" w:hAnsi="Arial"/>
          <w:sz w:val="22"/>
          <w:szCs w:val="22"/>
        </w:rPr>
        <w:t xml:space="preserve">Parameter values (τ = 20, α = 5, M_max = 2.0, C_weekly = 100) are heuristic. Sensitivity to these values is unknown and must be established via simulation.</w:t>
      </w:r>
    </w:p>
    <w:p>
      <w:pPr>
        <w:pStyle w:val="ListParagraph"/>
        <w:numPr>
          <w:ilvl w:val="0"/>
          <w:numId w:val="2"/>
        </w:numPr>
        <w:spacing w:after="60" w:before="60"/>
      </w:pPr>
      <w:r>
        <w:rPr>
          <w:rFonts w:ascii="Arial" w:cs="Arial" w:eastAsia="Arial" w:hAnsi="Arial"/>
          <w:sz w:val="22"/>
          <w:szCs w:val="22"/>
        </w:rPr>
        <w:t xml:space="preserve">The skill diversity heuristic is a rough approximation. A validated semantic skill taxonomy would substantially improve precision.</w:t>
      </w:r>
    </w:p>
    <w:p>
      <w:pPr>
        <w:pStyle w:val="ListParagraph"/>
        <w:numPr>
          <w:ilvl w:val="0"/>
          <w:numId w:val="2"/>
        </w:numPr>
        <w:spacing w:after="60" w:before="60"/>
      </w:pPr>
      <w:r>
        <w:rPr>
          <w:rFonts w:ascii="Arial" w:cs="Arial" w:eastAsia="Arial" w:hAnsi="Arial"/>
          <w:sz w:val="22"/>
          <w:szCs w:val="22"/>
        </w:rPr>
        <w:t xml:space="preserve">Cultural applicability has not been tested. The framework was developed primarily within European diaspora organizational contexts.</w:t>
      </w:r>
    </w:p>
    <w:p>
      <w:pPr>
        <w:pStyle w:val="Heading2"/>
        <w:spacing w:after="120" w:before="280"/>
      </w:pPr>
      <w:r>
        <w:rPr>
          <w:rFonts w:ascii="Arial" w:cs="Arial" w:eastAsia="Arial" w:hAnsi="Arial"/>
          <w:b/>
          <w:bCs/>
          <w:color w:val="1B6B8A"/>
          <w:sz w:val="24"/>
          <w:szCs w:val="24"/>
        </w:rPr>
        <w:t xml:space="preserve">7.4 The Kaleidoscope Metaphor</w:t>
      </w:r>
    </w:p>
    <w:p>
      <w:pPr>
        <w:spacing w:after="120" w:before="80"/>
      </w:pPr>
      <w:r>
        <w:rPr>
          <w:rFonts w:ascii="Arial" w:cs="Arial" w:eastAsia="Arial" w:hAnsi="Arial"/>
          <w:color w:val="000000"/>
          <w:sz w:val="22"/>
          <w:szCs w:val="22"/>
        </w:rPr>
        <w:t xml:space="preserve">A volunteer community, like a kaleidoscope, derives its beauty and strength not from any single element but from the dynamic, shifting interplay of diverse contributions—bridging and bonding, formal and informal, visible and invisible. The Ganesh-Standard is designed to make that interplay legible, fair, and worth sustaining.</w:t>
      </w:r>
    </w:p>
    <w:p>
      <w:pPr>
        <w:spacing w:after="160" w:before="0"/>
      </w:pPr>
    </w:p>
    <w:p>
      <w:pPr>
        <w:pStyle w:val="Heading1"/>
        <w:spacing w:after="160" w:before="360"/>
      </w:pPr>
      <w:r>
        <w:rPr>
          <w:rFonts w:ascii="Arial" w:cs="Arial" w:eastAsia="Arial" w:hAnsi="Arial"/>
          <w:b/>
          <w:bCs/>
          <w:color w:val="1F3864"/>
          <w:sz w:val="28"/>
          <w:szCs w:val="28"/>
        </w:rPr>
        <w:t xml:space="preserve">8. Conclusion</w:t>
      </w:r>
    </w:p>
    <w:p>
      <w:pPr>
        <w:spacing w:after="120" w:before="80"/>
      </w:pPr>
      <w:r>
        <w:rPr>
          <w:rFonts w:ascii="Arial" w:cs="Arial" w:eastAsia="Arial" w:hAnsi="Arial"/>
          <w:color w:val="000000"/>
          <w:sz w:val="22"/>
          <w:szCs w:val="22"/>
        </w:rPr>
        <w:t xml:space="preserve">This paper presents a multi-dimensional scoring framework for volunteer recognition in diaspora contexts, grounded in evolutionary prosociality, capital theory, and behavioral economics. The Ganesh-Standard Formula integrates effort, verification credibility, skill diversity, collaboration, sustainability, and—critically—bonding help into a unified, transparent, and bounded scoring mechanism.</w:t>
      </w:r>
    </w:p>
    <w:p>
      <w:pPr>
        <w:spacing w:after="120" w:before="80"/>
      </w:pPr>
      <w:r>
        <w:rPr>
          <w:rFonts w:ascii="Arial" w:cs="Arial" w:eastAsia="Arial" w:hAnsi="Arial"/>
          <w:color w:val="000000"/>
          <w:sz w:val="22"/>
          <w:szCs w:val="22"/>
        </w:rPr>
        <w:t xml:space="preserve">Rather than claiming optimality, this work contributes:</w:t>
      </w:r>
    </w:p>
    <w:p>
      <w:pPr>
        <w:pStyle w:val="ListParagraph"/>
        <w:numPr>
          <w:ilvl w:val="0"/>
          <w:numId w:val="2"/>
        </w:numPr>
        <w:spacing w:after="60" w:before="60"/>
      </w:pPr>
      <w:r>
        <w:rPr>
          <w:rFonts w:ascii="Arial" w:cs="Arial" w:eastAsia="Arial" w:hAnsi="Arial"/>
          <w:sz w:val="22"/>
          <w:szCs w:val="22"/>
        </w:rPr>
        <w:t xml:space="preserve">A structured, transparent, and decomposable scoring framework with explicit parameter justifications</w:t>
      </w:r>
    </w:p>
    <w:p>
      <w:pPr>
        <w:pStyle w:val="ListParagraph"/>
        <w:numPr>
          <w:ilvl w:val="0"/>
          <w:numId w:val="2"/>
        </w:numPr>
        <w:spacing w:after="60" w:before="60"/>
      </w:pPr>
      <w:r>
        <w:rPr>
          <w:rFonts w:ascii="Arial" w:cs="Arial" w:eastAsia="Arial" w:hAnsi="Arial"/>
          <w:sz w:val="22"/>
          <w:szCs w:val="22"/>
        </w:rPr>
        <w:t xml:space="preserve">A theoretically grounded argument for recognizing bonding help at parity with bridging contributions</w:t>
      </w:r>
    </w:p>
    <w:p>
      <w:pPr>
        <w:pStyle w:val="ListParagraph"/>
        <w:numPr>
          <w:ilvl w:val="0"/>
          <w:numId w:val="2"/>
        </w:numPr>
        <w:spacing w:after="60" w:before="60"/>
      </w:pPr>
      <w:r>
        <w:rPr>
          <w:rFonts w:ascii="Arial" w:cs="Arial" w:eastAsia="Arial" w:hAnsi="Arial"/>
          <w:sz w:val="22"/>
          <w:szCs w:val="22"/>
        </w:rPr>
        <w:t xml:space="preserve">A behavioral feedback architecture that harnesses social comparison, competitive altruism, and generalized reciprocity</w:t>
      </w:r>
    </w:p>
    <w:p>
      <w:pPr>
        <w:pStyle w:val="ListParagraph"/>
        <w:numPr>
          <w:ilvl w:val="0"/>
          <w:numId w:val="2"/>
        </w:numPr>
        <w:spacing w:after="60" w:before="60"/>
      </w:pPr>
      <w:r>
        <w:rPr>
          <w:rFonts w:ascii="Arial" w:cs="Arial" w:eastAsia="Arial" w:hAnsi="Arial"/>
          <w:sz w:val="22"/>
          <w:szCs w:val="22"/>
        </w:rPr>
        <w:t xml:space="preserve">A rigorous three-study validation roadmap with pre-specified hypotheses and power analysis</w:t>
      </w:r>
    </w:p>
    <w:p>
      <w:pPr>
        <w:spacing w:after="80" w:before="0"/>
      </w:pPr>
    </w:p>
    <w:p>
      <w:pPr>
        <w:spacing w:after="120" w:before="80"/>
      </w:pPr>
      <w:r>
        <w:rPr>
          <w:rFonts w:ascii="Arial" w:cs="Arial" w:eastAsia="Arial" w:hAnsi="Arial"/>
          <w:color w:val="000000"/>
          <w:sz w:val="22"/>
          <w:szCs w:val="22"/>
        </w:rPr>
        <w:t xml:space="preserve">Future work will focus on empirical calibration via parameter recovery simulation, cross-organizational reliability testing, and predictive validity assessment. The Ganesh-Standard is offered not as a finished product but as a calibrated instrument in need of field refinement—a scaffold for making invisible labor visible, and visible labor fair.</w:t>
      </w:r>
    </w:p>
    <w:p>
      <w:pPr>
        <w:spacing w:after="160" w:before="0"/>
      </w:pPr>
    </w:p>
    <w:p>
      <w:pPr>
        <w:pStyle w:val="Heading1"/>
        <w:spacing w:after="160" w:before="360"/>
      </w:pPr>
      <w:r>
        <w:rPr>
          <w:rFonts w:ascii="Arial" w:cs="Arial" w:eastAsia="Arial" w:hAnsi="Arial"/>
          <w:b/>
          <w:bCs/>
          <w:color w:val="1F3864"/>
          <w:sz w:val="28"/>
          <w:szCs w:val="28"/>
        </w:rPr>
        <w:t xml:space="preserve">References</w:t>
      </w:r>
    </w:p>
    <w:p>
      <w:pPr>
        <w:pBdr>
          <w:bottom w:val="single" w:color="1B6B8A" w:sz="4" w:space="1"/>
        </w:pBdr>
        <w:spacing w:after="80" w:before="80"/>
      </w:pPr>
    </w:p>
    <w:p>
      <w:pPr>
        <w:spacing w:after="60" w:before="0"/>
      </w:pPr>
    </w:p>
    <w:p>
      <w:pPr>
        <w:spacing w:after="60" w:before="60"/>
        <w:ind w:left="720" w:hanging="720"/>
      </w:pPr>
      <w:r>
        <w:rPr>
          <w:rFonts w:ascii="Arial" w:cs="Arial" w:eastAsia="Arial" w:hAnsi="Arial"/>
          <w:color w:val="4A4A4A"/>
          <w:sz w:val="20"/>
          <w:szCs w:val="20"/>
        </w:rPr>
        <w:t xml:space="preserve">Alkire, S., &amp; Foster, J. (2011). Counting and multidimensional poverty measurement. Journal of Public Economics, 95(7–8), 476–487.</w:t>
      </w:r>
    </w:p>
    <w:p>
      <w:pPr>
        <w:spacing w:after="60" w:before="60"/>
        <w:ind w:left="720" w:hanging="720"/>
      </w:pPr>
      <w:r>
        <w:rPr>
          <w:rFonts w:ascii="Arial" w:cs="Arial" w:eastAsia="Arial" w:hAnsi="Arial"/>
          <w:color w:val="4A4A4A"/>
          <w:sz w:val="20"/>
          <w:szCs w:val="20"/>
        </w:rPr>
        <w:t xml:space="preserve">Barclay, P. (2012). Competitive helping increases with the size of biological markets and invades defection. Journal of Theoretical Biology, 307, 212–221.</w:t>
      </w:r>
    </w:p>
    <w:p>
      <w:pPr>
        <w:spacing w:after="60" w:before="60"/>
        <w:ind w:left="720" w:hanging="720"/>
      </w:pPr>
      <w:r>
        <w:rPr>
          <w:rFonts w:ascii="Arial" w:cs="Arial" w:eastAsia="Arial" w:hAnsi="Arial"/>
          <w:color w:val="4A4A4A"/>
          <w:sz w:val="20"/>
          <w:szCs w:val="20"/>
        </w:rPr>
        <w:t xml:space="preserve">Bowles, S. (2016). The Moral Economy: Why Good Incentives Are No Substitute for Good Citizens. Yale University Press.</w:t>
      </w:r>
    </w:p>
    <w:p>
      <w:pPr>
        <w:spacing w:after="60" w:before="60"/>
        <w:ind w:left="720" w:hanging="720"/>
      </w:pPr>
      <w:r>
        <w:rPr>
          <w:rFonts w:ascii="Arial" w:cs="Arial" w:eastAsia="Arial" w:hAnsi="Arial"/>
          <w:color w:val="4A4A4A"/>
          <w:sz w:val="20"/>
          <w:szCs w:val="20"/>
        </w:rPr>
        <w:t xml:space="preserve">Carlesso, D., et al. (2025). Ant teamwork and individual effort. Current Biology. [In press]</w:t>
      </w:r>
    </w:p>
    <w:p>
      <w:pPr>
        <w:spacing w:after="60" w:before="60"/>
        <w:ind w:left="720" w:hanging="720"/>
      </w:pPr>
      <w:r>
        <w:rPr>
          <w:rFonts w:ascii="Arial" w:cs="Arial" w:eastAsia="Arial" w:hAnsi="Arial"/>
          <w:color w:val="4A4A4A"/>
          <w:sz w:val="20"/>
          <w:szCs w:val="20"/>
        </w:rPr>
        <w:t xml:space="preserve">Carter, G. G., &amp; Wilkinson, G. S. (2013). Food sharing in vampire bats: Reciprocal help predicts donations more than relatedness. Proceedings of the Royal Society B, 280(1753), 20122573.</w:t>
      </w:r>
    </w:p>
    <w:p>
      <w:pPr>
        <w:spacing w:after="60" w:before="60"/>
        <w:ind w:left="720" w:hanging="720"/>
      </w:pPr>
      <w:r>
        <w:rPr>
          <w:rFonts w:ascii="Arial" w:cs="Arial" w:eastAsia="Arial" w:hAnsi="Arial"/>
          <w:color w:val="4A4A4A"/>
          <w:sz w:val="20"/>
          <w:szCs w:val="20"/>
        </w:rPr>
        <w:t xml:space="preserve">Chen, Y., Harper, F. M., Konstan, J., &amp; Li, S. X. (2009). Social comparisons and contributions to online communities: A field experiment on MovieLens. American Economic Review, 99(2), 1–27.</w:t>
      </w:r>
    </w:p>
    <w:p>
      <w:pPr>
        <w:spacing w:after="60" w:before="60"/>
        <w:ind w:left="720" w:hanging="720"/>
      </w:pPr>
      <w:r>
        <w:rPr>
          <w:rFonts w:ascii="Arial" w:cs="Arial" w:eastAsia="Arial" w:hAnsi="Arial"/>
          <w:color w:val="4A4A4A"/>
          <w:sz w:val="20"/>
          <w:szCs w:val="20"/>
        </w:rPr>
        <w:t xml:space="preserve">Elkington, J. (1997). Cannibals with Forks: The Triple Bottom Line of 21st Century Business. Capstone.</w:t>
      </w:r>
    </w:p>
    <w:p>
      <w:pPr>
        <w:spacing w:after="60" w:before="60"/>
        <w:ind w:left="720" w:hanging="720"/>
      </w:pPr>
      <w:r>
        <w:rPr>
          <w:rFonts w:ascii="Arial" w:cs="Arial" w:eastAsia="Arial" w:hAnsi="Arial"/>
          <w:color w:val="4A4A4A"/>
          <w:sz w:val="20"/>
          <w:szCs w:val="20"/>
        </w:rPr>
        <w:t xml:space="preserve">Fehr, E., &amp; Fischbacher, U. (2004). Social norms and human cooperation. Trends in Cognitive Sciences, 8(4), 185–190.</w:t>
      </w:r>
    </w:p>
    <w:p>
      <w:pPr>
        <w:spacing w:after="60" w:before="60"/>
        <w:ind w:left="720" w:hanging="720"/>
      </w:pPr>
      <w:r>
        <w:rPr>
          <w:rFonts w:ascii="Arial" w:cs="Arial" w:eastAsia="Arial" w:hAnsi="Arial"/>
          <w:color w:val="4A4A4A"/>
          <w:sz w:val="20"/>
          <w:szCs w:val="20"/>
        </w:rPr>
        <w:t xml:space="preserve">Fehr, E., &amp; Schmidt, K. M. (1999). A theory of fairness, competition, and cooperation. Quarterly Journal of Economics, 114(3), 817–868.</w:t>
      </w:r>
    </w:p>
    <w:p>
      <w:pPr>
        <w:spacing w:after="60" w:before="60"/>
        <w:ind w:left="720" w:hanging="720"/>
      </w:pPr>
      <w:r>
        <w:rPr>
          <w:rFonts w:ascii="Arial" w:cs="Arial" w:eastAsia="Arial" w:hAnsi="Arial"/>
          <w:color w:val="4A4A4A"/>
          <w:sz w:val="20"/>
          <w:szCs w:val="20"/>
        </w:rPr>
        <w:t xml:space="preserve">Hamilton, W. D. (1964). The genetical evolution of social behaviour. I, II. Journal of Theoretical Biology, 7(1), 1–52.</w:t>
      </w:r>
    </w:p>
    <w:p>
      <w:pPr>
        <w:spacing w:after="60" w:before="60"/>
        <w:ind w:left="720" w:hanging="720"/>
      </w:pPr>
      <w:r>
        <w:rPr>
          <w:rFonts w:ascii="Arial" w:cs="Arial" w:eastAsia="Arial" w:hAnsi="Arial"/>
          <w:color w:val="4A4A4A"/>
          <w:sz w:val="20"/>
          <w:szCs w:val="20"/>
        </w:rPr>
        <w:t xml:space="preserve">Hardy, C. L., &amp; Van Vugt, M. (2006). Nice guys finish first: The competitive altruism hypothesis. Personality and Social Psychology Bulletin, 32(10), 1402–1413.</w:t>
      </w:r>
    </w:p>
    <w:p>
      <w:pPr>
        <w:spacing w:after="60" w:before="60"/>
        <w:ind w:left="720" w:hanging="720"/>
      </w:pPr>
      <w:r>
        <w:rPr>
          <w:rFonts w:ascii="Arial" w:cs="Arial" w:eastAsia="Arial" w:hAnsi="Arial"/>
          <w:color w:val="4A4A4A"/>
          <w:sz w:val="20"/>
          <w:szCs w:val="20"/>
        </w:rPr>
        <w:t xml:space="preserve">Hustinx, L. (2010). I quit, therefore I am? Volunteer turnover and the politics of self-actualization. Voluntas, 21(2), 271–292.</w:t>
      </w:r>
    </w:p>
    <w:p>
      <w:pPr>
        <w:spacing w:after="60" w:before="60"/>
        <w:ind w:left="720" w:hanging="720"/>
      </w:pPr>
      <w:r>
        <w:rPr>
          <w:rFonts w:ascii="Arial" w:cs="Arial" w:eastAsia="Arial" w:hAnsi="Arial"/>
          <w:color w:val="4A4A4A"/>
          <w:sz w:val="20"/>
          <w:szCs w:val="20"/>
        </w:rPr>
        <w:t xml:space="preserve">Ingham, A. G., Levinger, G., Graves, J., &amp; Peckham, V. (1974). The Ringelmann effect: Studies of group size and group performance. Journal of Experimental Social Psychology, 10(4), 371–388.</w:t>
      </w:r>
    </w:p>
    <w:p>
      <w:pPr>
        <w:spacing w:after="60" w:before="60"/>
        <w:ind w:left="720" w:hanging="720"/>
      </w:pPr>
      <w:r>
        <w:rPr>
          <w:rFonts w:ascii="Arial" w:cs="Arial" w:eastAsia="Arial" w:hAnsi="Arial"/>
          <w:color w:val="4A4A4A"/>
          <w:sz w:val="20"/>
          <w:szCs w:val="20"/>
        </w:rPr>
        <w:t xml:space="preserve">Jøsang, A. (1996). The right type of trust for distributed systems. Proceedings of the 1996 Workshop on New Security Paradigms (pp. 119–131). ACM Press.</w:t>
      </w:r>
    </w:p>
    <w:p>
      <w:pPr>
        <w:spacing w:after="60" w:before="60"/>
        <w:ind w:left="720" w:hanging="720"/>
      </w:pPr>
      <w:r>
        <w:rPr>
          <w:rFonts w:ascii="Arial" w:cs="Arial" w:eastAsia="Arial" w:hAnsi="Arial"/>
          <w:color w:val="4A4A4A"/>
          <w:sz w:val="20"/>
          <w:szCs w:val="20"/>
        </w:rPr>
        <w:t xml:space="preserve">Karau, S. J., &amp; Williams, K. D. (1993). Social loafing: A meta-analytic review and theoretical integration. Journal of Personality and Social Psychology, 65(4), 681–706.</w:t>
      </w:r>
    </w:p>
    <w:p>
      <w:pPr>
        <w:spacing w:after="60" w:before="60"/>
        <w:ind w:left="720" w:hanging="720"/>
      </w:pPr>
      <w:r>
        <w:rPr>
          <w:rFonts w:ascii="Arial" w:cs="Arial" w:eastAsia="Arial" w:hAnsi="Arial"/>
          <w:color w:val="4A4A4A"/>
          <w:sz w:val="20"/>
          <w:szCs w:val="20"/>
        </w:rPr>
        <w:t xml:space="preserve">Kramer, R., &amp; Krüger, H. (2015). Historical perspectives on voluntary action and caregiver recognition. Proceedings of the International Conference on Voluntary Action History.</w:t>
      </w:r>
    </w:p>
    <w:p>
      <w:pPr>
        <w:spacing w:after="60" w:before="60"/>
        <w:ind w:left="720" w:hanging="720"/>
      </w:pPr>
      <w:r>
        <w:rPr>
          <w:rFonts w:ascii="Arial" w:cs="Arial" w:eastAsia="Arial" w:hAnsi="Arial"/>
          <w:color w:val="4A4A4A"/>
          <w:sz w:val="20"/>
          <w:szCs w:val="20"/>
        </w:rPr>
        <w:t xml:space="preserve">Latané, B., Williams, K., &amp; Harkins, S. (1979). Many hands make light the work: The causes and consequences of social loafing. Journal of Personality and Social Psychology, 37(6), 822–832.</w:t>
      </w:r>
    </w:p>
    <w:p>
      <w:pPr>
        <w:spacing w:after="60" w:before="60"/>
        <w:ind w:left="720" w:hanging="720"/>
      </w:pPr>
      <w:r>
        <w:rPr>
          <w:rFonts w:ascii="Arial" w:cs="Arial" w:eastAsia="Arial" w:hAnsi="Arial"/>
          <w:color w:val="4A4A4A"/>
          <w:sz w:val="20"/>
          <w:szCs w:val="20"/>
        </w:rPr>
        <w:t xml:space="preserve">Mavrodiev, P., Tessone, C. J., &amp; Schweitzer, F. (2013). Quantifying the effects of social influence. Scientific Reports, 3, 1360.</w:t>
      </w:r>
    </w:p>
    <w:p>
      <w:pPr>
        <w:spacing w:after="60" w:before="60"/>
        <w:ind w:left="720" w:hanging="720"/>
      </w:pPr>
      <w:r>
        <w:rPr>
          <w:rFonts w:ascii="Arial" w:cs="Arial" w:eastAsia="Arial" w:hAnsi="Arial"/>
          <w:color w:val="4A4A4A"/>
          <w:sz w:val="20"/>
          <w:szCs w:val="20"/>
        </w:rPr>
        <w:t xml:space="preserve">Mizuno, K., &amp; Shimizu, H. (2024). Measurement of social value orientation: Validation study. Journal of Experimental Psychology: General. [Forthcoming]</w:t>
      </w:r>
    </w:p>
    <w:p>
      <w:pPr>
        <w:spacing w:after="60" w:before="60"/>
        <w:ind w:left="720" w:hanging="720"/>
      </w:pPr>
      <w:r>
        <w:rPr>
          <w:rFonts w:ascii="Arial" w:cs="Arial" w:eastAsia="Arial" w:hAnsi="Arial"/>
          <w:color w:val="4A4A4A"/>
          <w:sz w:val="20"/>
          <w:szCs w:val="20"/>
        </w:rPr>
        <w:t xml:space="preserve">Noë, R., &amp; Hammerstein, P. (1994). Biological markets: Supply and demand determine the effect of partner choice in cooperation. Behavioral Ecology and Sociobiology, 35(1), 1–11.</w:t>
      </w:r>
    </w:p>
    <w:p>
      <w:pPr>
        <w:spacing w:after="60" w:before="60"/>
        <w:ind w:left="720" w:hanging="720"/>
      </w:pPr>
      <w:r>
        <w:rPr>
          <w:rFonts w:ascii="Arial" w:cs="Arial" w:eastAsia="Arial" w:hAnsi="Arial"/>
          <w:color w:val="4A4A4A"/>
          <w:sz w:val="20"/>
          <w:szCs w:val="20"/>
        </w:rPr>
        <w:t xml:space="preserve">Reinhart, E. C. (2025). Perceived social contribution: What is it and how can it perpetuate inequalities? Social and Personality Psychology Compass, 19(9), e70084.</w:t>
      </w:r>
    </w:p>
    <w:p>
      <w:pPr>
        <w:spacing w:after="60" w:before="60"/>
        <w:ind w:left="720" w:hanging="720"/>
      </w:pPr>
      <w:r>
        <w:rPr>
          <w:rFonts w:ascii="Arial" w:cs="Arial" w:eastAsia="Arial" w:hAnsi="Arial"/>
          <w:color w:val="4A4A4A"/>
          <w:sz w:val="20"/>
          <w:szCs w:val="20"/>
        </w:rPr>
        <w:t xml:space="preserve">Rieder, S., Janczak, A. M., &amp; Bucher, B. (2017). Generalized reciprocity in dogs. Scientific Reports, 7(1), 1–8.</w:t>
      </w:r>
    </w:p>
    <w:p>
      <w:pPr>
        <w:spacing w:after="60" w:before="60"/>
        <w:ind w:left="720" w:hanging="720"/>
      </w:pPr>
      <w:r>
        <w:rPr>
          <w:rFonts w:ascii="Arial" w:cs="Arial" w:eastAsia="Arial" w:hAnsi="Arial"/>
          <w:color w:val="4A4A4A"/>
          <w:sz w:val="20"/>
          <w:szCs w:val="20"/>
        </w:rPr>
        <w:t xml:space="preserve">Ringelmann, M. (1913). Recherches sur les moteurs animés: Travail de l'homme. Annales de l'Institut National Agronomique, 12, 1–40.</w:t>
      </w:r>
    </w:p>
    <w:p>
      <w:pPr>
        <w:spacing w:after="60" w:before="60"/>
        <w:ind w:left="720" w:hanging="720"/>
      </w:pPr>
      <w:r>
        <w:rPr>
          <w:rFonts w:ascii="Arial" w:cs="Arial" w:eastAsia="Arial" w:hAnsi="Arial"/>
          <w:color w:val="4A4A4A"/>
          <w:sz w:val="20"/>
          <w:szCs w:val="20"/>
        </w:rPr>
        <w:t xml:space="preserve">Roberts, G. (1998). Competitive altruism: From reciprocity to the handicap principle. Proceedings of the Royal Society B, 265(1394), 427–431.</w:t>
      </w:r>
    </w:p>
    <w:p>
      <w:pPr>
        <w:spacing w:after="60" w:before="60"/>
        <w:ind w:left="720" w:hanging="720"/>
      </w:pPr>
      <w:r>
        <w:rPr>
          <w:rFonts w:ascii="Arial" w:cs="Arial" w:eastAsia="Arial" w:hAnsi="Arial"/>
          <w:color w:val="4A4A4A"/>
          <w:sz w:val="20"/>
          <w:szCs w:val="20"/>
        </w:rPr>
        <w:t xml:space="preserve">Rutte, C., &amp; Taborsky, M. (2008). The influence of social experience on cooperative behaviour of rats (Rattus norvegicus): Direct vs. generalised reciprocity. Behavioral Ecology and Sociobiology, 62(4), 499–505.</w:t>
      </w:r>
    </w:p>
    <w:p>
      <w:pPr>
        <w:spacing w:after="60" w:before="60"/>
        <w:ind w:left="720" w:hanging="720"/>
      </w:pPr>
      <w:r>
        <w:rPr>
          <w:rFonts w:ascii="Arial" w:cs="Arial" w:eastAsia="Arial" w:hAnsi="Arial"/>
          <w:color w:val="4A4A4A"/>
          <w:sz w:val="20"/>
          <w:szCs w:val="20"/>
        </w:rPr>
        <w:t xml:space="preserve">Shapley, L. S. (1953). A value for n-person games. In H. W. Kuhn &amp; A. W. Tucker (Eds.), Contributions to the Theory of Games (Vol. 2, pp. 307–317). Princeton University Press.</w:t>
      </w:r>
    </w:p>
    <w:p>
      <w:pPr>
        <w:spacing w:after="60" w:before="60"/>
        <w:ind w:left="720" w:hanging="720"/>
      </w:pPr>
      <w:r>
        <w:rPr>
          <w:rFonts w:ascii="Arial" w:cs="Arial" w:eastAsia="Arial" w:hAnsi="Arial"/>
          <w:color w:val="4A4A4A"/>
          <w:sz w:val="20"/>
          <w:szCs w:val="20"/>
        </w:rPr>
        <w:t xml:space="preserve">Trivers, R. L. (1971). The evolution of reciprocal altruism. Quarterly Review of Biology, 46(1), 35–57.</w:t>
      </w:r>
    </w:p>
    <w:p>
      <w:pPr>
        <w:spacing w:after="60" w:before="60"/>
        <w:ind w:left="720" w:hanging="720"/>
      </w:pPr>
      <w:r>
        <w:rPr>
          <w:rFonts w:ascii="Arial" w:cs="Arial" w:eastAsia="Arial" w:hAnsi="Arial"/>
          <w:color w:val="4A4A4A"/>
          <w:sz w:val="20"/>
          <w:szCs w:val="20"/>
        </w:rPr>
        <w:t xml:space="preserve">Wagner, A. (2015). Colonial legacies and institutional trust in diaspora voluntary organizations. In Kramer &amp; Krüger (Eds.), Voluntary Action in Historical Context.</w:t>
      </w:r>
    </w:p>
    <w:p>
      <w:pPr>
        <w:spacing w:after="60" w:before="60"/>
        <w:ind w:left="720" w:hanging="720"/>
      </w:pPr>
      <w:r>
        <w:rPr>
          <w:rFonts w:ascii="Arial" w:cs="Arial" w:eastAsia="Arial" w:hAnsi="Arial"/>
          <w:color w:val="4A4A4A"/>
          <w:sz w:val="20"/>
          <w:szCs w:val="20"/>
        </w:rPr>
        <w:t xml:space="preserve">Wilson, J., &amp; Musick, M. (1997). Work and volunteering: The long arm of the job. Social Forces, 76(1), 251–272.</w:t>
      </w:r>
    </w:p>
    <w:p>
      <w:pPr>
        <w:spacing w:after="240" w:before="0"/>
      </w:pPr>
    </w:p>
    <w:p>
      <w:pPr>
        <w:pBdr>
          <w:bottom w:val="single" w:color="1B6B8A" w:sz="4" w:space="1"/>
        </w:pBdr>
        <w:spacing w:after="80" w:before="80"/>
      </w:pPr>
    </w:p>
    <w:p>
      <w:pPr>
        <w:spacing w:after="60" w:before="120"/>
        <w:jc w:val="center"/>
      </w:pPr>
      <w:r>
        <w:rPr>
          <w:rFonts w:ascii="Arial" w:cs="Arial" w:eastAsia="Arial" w:hAnsi="Arial"/>
          <w:b/>
          <w:bCs/>
          <w:color w:val="1F3864"/>
          <w:sz w:val="20"/>
          <w:szCs w:val="20"/>
        </w:rPr>
        <w:t xml:space="preserve">Reproducibility Statement</w:t>
      </w:r>
    </w:p>
    <w:p>
      <w:pPr>
        <w:spacing w:after="120" w:before="0"/>
        <w:jc w:val="center"/>
      </w:pPr>
      <w:r>
        <w:rPr>
          <w:rFonts w:ascii="Arial" w:cs="Arial" w:eastAsia="Arial" w:hAnsi="Arial"/>
          <w:i/>
          <w:iCs/>
          <w:color w:val="4A4A4A"/>
          <w:sz w:val="19"/>
          <w:szCs w:val="19"/>
        </w:rPr>
        <w:t xml:space="preserve">Reference implementation: PHP 8.2 (Laravel). Pre-registration and synthetic datasets will be made available at the project repository upon acceptance. Parameter recovery simulation code will be released under MIT license.</w:t>
      </w:r>
    </w:p>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2"/>
      </w:pBdr>
      <w:tabs>
        <w:tab w:val="right" w:pos="9360"/>
      </w:tabs>
    </w:pPr>
    <w:r>
      <w:rPr>
        <w:rFonts w:ascii="Arial" w:cs="Arial" w:eastAsia="Arial" w:hAnsi="Arial"/>
        <w:color w:val="4A4A4A"/>
        <w:sz w:val="18"/>
        <w:szCs w:val="18"/>
      </w:rPr>
      <w:t xml:space="preserve">Volunteer Contribution in Diaspora Communities</w:t>
    </w:r>
    <w:r>
      <w:rPr>
        <w:rFonts w:ascii="Arial" w:cs="Arial" w:eastAsia="Arial" w:hAnsi="Arial"/>
        <w:sz w:val="18"/>
        <w:szCs w:val="18"/>
      </w:rPr>
      <w:t xml:space="preserve">	</w:t>
    </w:r>
    <w:r>
      <w:rPr>
        <w:rFonts w:ascii="Arial" w:cs="Arial" w:eastAsia="Arial" w:hAnsi="Arial"/>
        <w:color w:val="4A4A4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2"/>
      </w:pBdr>
    </w:pPr>
    <w:r>
      <w:rPr>
        <w:rFonts w:ascii="Arial" w:cs="Arial" w:eastAsia="Arial" w:hAnsi="Arial"/>
        <w:color w:val="4A4A4A"/>
        <w:sz w:val="18"/>
        <w:szCs w:val="18"/>
      </w:rPr>
      <w:t xml:space="preserve">Ganesh-Standard Formula  |  Volunteer Contribution Scoring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1B6B8A"/>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4A4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Multi-Dimensional Scoring Framework for Volunteer Contribution in Diaspora Communities</dc:title>
  <dc:creator>Research Team</dc:creator>
  <cp:lastModifiedBy>Un-named</cp:lastModifiedBy>
  <cp:revision>1</cp:revision>
  <dcterms:created xsi:type="dcterms:W3CDTF">2026-04-12T08:55:22.454Z</dcterms:created>
  <dcterms:modified xsi:type="dcterms:W3CDTF">2026-04-12T08:55:22.455Z</dcterms:modified>
</cp:coreProperties>
</file>

<file path=docProps/custom.xml><?xml version="1.0" encoding="utf-8"?>
<Properties xmlns="http://schemas.openxmlformats.org/officeDocument/2006/custom-properties" xmlns:vt="http://schemas.openxmlformats.org/officeDocument/2006/docPropsVTypes"/>
</file>