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TraceForge Blockchain Setup</w:t>
      </w:r>
    </w:p>
    <w:p>
      <w:pPr>
        <w:spacing w:after="200"/>
      </w:pPr>
      <w:r>
        <w:rPr>
          <w:color w:val="5D6B82"/>
          <w:sz w:val="24"/>
        </w:rPr>
        <w:t>Account creation, Sepolia deployment, and verified claim anchoring</w:t>
      </w:r>
    </w:p>
    <w:p>
      <w:pPr>
        <w:spacing w:after="160"/>
      </w:pPr>
      <w:r>
        <w:rPr>
          <w:b/>
          <w:color w:val="4F46E5"/>
        </w:rPr>
        <w:t xml:space="preserve">Outcome. </w:t>
      </w:r>
      <w:r>
        <w:t>A verified TraceForge claim was committed to the Sepolia test network. This guide summarizes the code prepared before wallet setup and the steps from MetaMask account setup through the confirmed transaction.</w:t>
      </w:r>
    </w:p>
    <w:p>
      <w:pPr>
        <w:pStyle w:val="Heading1"/>
        <w:keepNext/>
      </w:pPr>
      <w:r>
        <w:t>1. Code changes made before wallet setup</w:t>
      </w:r>
    </w:p>
    <w:p>
      <w:pPr>
        <w:pStyle w:val="ListBullet"/>
        <w:spacing w:after="60"/>
        <w:ind w:left="317" w:hanging="202"/>
      </w:pPr>
      <w:r>
        <w:rPr>
          <w:b/>
          <w:color w:val="14233B"/>
        </w:rPr>
        <w:t xml:space="preserve">Commitment builder. </w:t>
      </w:r>
      <w:r>
        <w:t>Added a shared module that accepts only VERIFIED claims and creates a manifest from the session, claim index, and linked evidence. It hashes the manifest and evidence with SHA-256; raw prompt text and evidence are not written to the blockchain.</w:t>
      </w:r>
    </w:p>
    <w:p>
      <w:pPr>
        <w:pStyle w:val="ListBullet"/>
        <w:spacing w:after="60"/>
        <w:ind w:left="317" w:hanging="202"/>
      </w:pPr>
      <w:r>
        <w:rPr>
          <w:b/>
          <w:color w:val="14233B"/>
        </w:rPr>
        <w:t xml:space="preserve">Smart contract and ABI. </w:t>
      </w:r>
      <w:r>
        <w:t>Added VerifiedClaimRegistry.sol and its ABI. The contract stores a record ID, session hash, claim index, manifest hash, evidence root, schema version, timestamp, wallet address, and verified flag. Only the deploying wallet can anchor; duplicate records are rejected.</w:t>
      </w:r>
    </w:p>
    <w:p>
      <w:pPr>
        <w:pStyle w:val="ListBullet"/>
        <w:spacing w:after="60"/>
        <w:ind w:left="317" w:hanging="202"/>
      </w:pPr>
      <w:r>
        <w:rPr>
          <w:b/>
          <w:color w:val="14233B"/>
        </w:rPr>
        <w:t xml:space="preserve">TraceForge interface. </w:t>
      </w:r>
      <w:r>
        <w:t>Added an Anchor on Sepolia action for VERIFIED claims, in both the session detail page and the expanded query view. Unsupported claims do not get an anchor action. Added Open session details to the query modal.</w:t>
      </w:r>
    </w:p>
    <w:p>
      <w:pPr>
        <w:pStyle w:val="ListBullet"/>
        <w:spacing w:after="60"/>
        <w:ind w:left="317" w:hanging="202"/>
      </w:pPr>
      <w:r>
        <w:rPr>
          <w:b/>
          <w:color w:val="14233B"/>
        </w:rPr>
        <w:t xml:space="preserve">Wallet client. </w:t>
      </w:r>
      <w:r>
        <w:t>Added MetaMask connection and Sepolia checks, owner and duplicate checks, transaction submission, confirmation polling, and Etherscan links.</w:t>
      </w:r>
    </w:p>
    <w:p>
      <w:pPr>
        <w:pStyle w:val="ListBullet"/>
        <w:spacing w:after="60"/>
        <w:ind w:left="317" w:hanging="202"/>
      </w:pPr>
      <w:r>
        <w:rPr>
          <w:b/>
          <w:color w:val="14233B"/>
        </w:rPr>
        <w:t xml:space="preserve">Runtime and gas fixes. </w:t>
      </w:r>
      <w:r>
        <w:t>Made the claims table a Client Component to resolve the Next.js event-handler runtime error. Increased anchor transaction gas headroom after the first MetaMask smart-account attempt ran out of gas.</w:t>
      </w:r>
    </w:p>
    <w:p>
      <w:pPr>
        <w:pStyle w:val="Heading2"/>
        <w:keepNext/>
      </w:pPr>
      <w:r>
        <w:t>What is stored on-chain</w:t>
      </w:r>
    </w:p>
    <w:p>
      <w:r>
        <w:t>The contract stores hashes and small verification metadata, not the original claim text, prompt, or trace evidence. This makes a later integrity check possible while keeping the evidence off-chain. The contract records the wallet owner's attestation; it does not independently re-check TraceForge evidence.</w:t>
      </w:r>
    </w:p>
    <w:tbl>
      <w:tblPr>
        <w:tblW w:type="auto" w:w="0"/>
        <w:jc w:val="center"/>
        <w:tblLook w:firstColumn="1" w:firstRow="1" w:lastColumn="0" w:lastRow="0" w:noHBand="0" w:noVBand="1" w:val="04A0"/>
      </w:tblPr>
      <w:tblGrid>
        <w:gridCol w:w="10166"/>
      </w:tblGrid>
      <w:tr>
        <w:tc>
          <w:tcPr>
            <w:tcW w:type="dxa" w:w="10166"/>
            <w:shd w:fill="EAF8F0"/>
            <w:vAlign w:val="center"/>
          </w:tcPr>
          <w:p>
            <w:pPr>
              <w:spacing w:after="20"/>
            </w:pPr>
            <w:r/>
            <w:r>
              <w:rPr>
                <w:rFonts w:ascii="Aptos" w:hAnsi="Aptos"/>
                <w:b/>
                <w:color w:val="176B45"/>
                <w:sz w:val="18"/>
              </w:rPr>
              <w:t>Test network only: Sepolia ETH is faucet-provided test currency. Do not use the mainnet for this walkthrough.</w:t>
            </w:r>
          </w:p>
        </w:tc>
      </w:tr>
    </w:tbl>
    <w:p>
      <w:r>
        <w:br w:type="page"/>
      </w:r>
    </w:p>
    <w:p>
      <w:pPr>
        <w:pStyle w:val="Heading1"/>
        <w:keepNext/>
      </w:pPr>
      <w:r>
        <w:t>2. Create and prepare the MetaMask account</w:t>
      </w:r>
    </w:p>
    <w:p>
      <w:pPr>
        <w:pStyle w:val="ListNumber"/>
        <w:spacing w:after="60"/>
        <w:ind w:left="360" w:hanging="230"/>
      </w:pPr>
      <w:r>
        <w:rPr>
          <w:b/>
          <w:color w:val="14233B"/>
        </w:rPr>
        <w:t xml:space="preserve">Install MetaMask. </w:t>
      </w:r>
      <w:r>
        <w:t>Add the official MetaMask browser extension, choose Create a new wallet if needed, and set a wallet password.</w:t>
      </w:r>
    </w:p>
    <w:p>
      <w:pPr>
        <w:pStyle w:val="ListNumber"/>
        <w:spacing w:after="60"/>
        <w:ind w:left="360" w:hanging="230"/>
      </w:pPr>
      <w:r>
        <w:rPr>
          <w:b/>
          <w:color w:val="14233B"/>
        </w:rPr>
        <w:t xml:space="preserve">Back up the wallet safely. </w:t>
      </w:r>
      <w:r>
        <w:t>Write down the Secret Recovery Phrase offline and keep it private. Never send it to anyone or paste it into a website or chat.</w:t>
      </w:r>
    </w:p>
    <w:p>
      <w:pPr>
        <w:pStyle w:val="ListNumber"/>
        <w:spacing w:after="60"/>
        <w:ind w:left="360" w:hanging="230"/>
      </w:pPr>
      <w:r>
        <w:rPr>
          <w:b/>
          <w:color w:val="14233B"/>
        </w:rPr>
        <w:t xml:space="preserve">Copy the public address. </w:t>
      </w:r>
      <w:r>
        <w:t>In MetaMask, copy the Account address. The account used for this deployment began 0xC5D9…31d26. The contract accepts anchors only from the same deploying account.</w:t>
      </w:r>
    </w:p>
    <w:p>
      <w:pPr>
        <w:pStyle w:val="ListNumber"/>
        <w:spacing w:after="60"/>
        <w:ind w:left="360" w:hanging="230"/>
      </w:pPr>
      <w:r>
        <w:rPr>
          <w:b/>
          <w:color w:val="14233B"/>
        </w:rPr>
        <w:t xml:space="preserve">Enable Sepolia. </w:t>
      </w:r>
      <w:r>
        <w:t>In MetaMask, open Settings or Networks, enable Show test networks, then select Sepolia. Confirm the network label says Sepolia before using Remix or TraceForge.</w:t>
      </w:r>
    </w:p>
    <w:p>
      <w:pPr>
        <w:pStyle w:val="ListNumber"/>
        <w:spacing w:after="60"/>
        <w:ind w:left="360" w:hanging="230"/>
      </w:pPr>
      <w:r>
        <w:rPr>
          <w:b/>
          <w:color w:val="14233B"/>
        </w:rPr>
        <w:t xml:space="preserve">Get test ETH. </w:t>
      </w:r>
      <w:r>
        <w:t>Use a Sepolia faucet and enter only your public wallet address. The account received 0.05 SepoliaETH for deployment and testing. Faucet availability and limits can change.</w:t>
      </w:r>
    </w:p>
    <w:p>
      <w:pPr>
        <w:pStyle w:val="Heading1"/>
        <w:keepNext/>
      </w:pPr>
      <w:r>
        <w:t>3. Compile and deploy the contract in Remix</w:t>
      </w:r>
    </w:p>
    <w:p>
      <w:pPr>
        <w:pStyle w:val="ListNumber"/>
        <w:spacing w:after="60"/>
        <w:ind w:left="360" w:hanging="230"/>
      </w:pPr>
      <w:r>
        <w:rPr>
          <w:b/>
          <w:color w:val="14233B"/>
        </w:rPr>
        <w:t xml:space="preserve">Open the contract. </w:t>
      </w:r>
      <w:r>
        <w:t>In Remix, open VerifiedClaimRegistry.sol from the blockchain branch or paste the contract source into a Remix file.</w:t>
      </w:r>
    </w:p>
    <w:p>
      <w:pPr>
        <w:pStyle w:val="ListNumber"/>
        <w:spacing w:after="60"/>
        <w:ind w:left="360" w:hanging="230"/>
      </w:pPr>
      <w:r>
        <w:rPr>
          <w:b/>
          <w:color w:val="14233B"/>
        </w:rPr>
        <w:t xml:space="preserve">Compile. </w:t>
      </w:r>
      <w:r>
        <w:t>Select Solidity compiler 0.8.24 and compile VerifiedClaimRegistry.sol. Wait for the green Compiled status.</w:t>
      </w:r>
    </w:p>
    <w:p>
      <w:pPr>
        <w:pStyle w:val="ListNumber"/>
        <w:spacing w:after="60"/>
        <w:ind w:left="360" w:hanging="230"/>
      </w:pPr>
      <w:r>
        <w:rPr>
          <w:b/>
          <w:color w:val="14233B"/>
        </w:rPr>
        <w:t xml:space="preserve">Connect the wallet. </w:t>
      </w:r>
      <w:r>
        <w:t>Open Deploy &amp; Run Transactions. Set Environment to Browser Extension, connect MetaMask, and confirm the environment shows Sepolia Testnet - MetaMask and the intended account.</w:t>
      </w:r>
    </w:p>
    <w:p>
      <w:pPr>
        <w:pStyle w:val="ListNumber"/>
        <w:spacing w:after="60"/>
        <w:ind w:left="360" w:hanging="230"/>
      </w:pPr>
      <w:r>
        <w:rPr>
          <w:b/>
          <w:color w:val="14233B"/>
        </w:rPr>
        <w:t xml:space="preserve">Deploy. </w:t>
      </w:r>
      <w:r>
        <w:t>Select VerifiedClaimRegistry, leave Value at 0, and click Deploy. Review the MetaMask request and confirm it on Sepolia. Wait for the deployed contract to appear under Deployed Contracts.</w:t>
      </w:r>
    </w:p>
    <w:p>
      <w:pPr>
        <w:pStyle w:val="ListNumber"/>
        <w:spacing w:after="60"/>
        <w:ind w:left="360" w:hanging="230"/>
      </w:pPr>
      <w:r>
        <w:rPr>
          <w:b/>
          <w:color w:val="14233B"/>
        </w:rPr>
        <w:t xml:space="preserve">Use the deployed address. </w:t>
      </w:r>
      <w:r>
        <w:t>The deployed contract address is 0x91027C349BDF0aaad3EF3d964f24C94B7c07fDF2. TraceForge is configured to use this address and Sepolia chain ID 11155111 (0xaa36a7).</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EEF2FF"/>
          </w:tcPr>
          <w:p>
            <w:pPr>
              <w:spacing w:after="20"/>
            </w:pPr>
            <w:r/>
            <w:r>
              <w:rPr>
                <w:rFonts w:ascii="Aptos" w:hAnsi="Aptos"/>
                <w:b/>
                <w:color w:val="14233B"/>
                <w:sz w:val="18"/>
              </w:rPr>
              <w:t>Wallet account</w:t>
            </w:r>
          </w:p>
        </w:tc>
        <w:tc>
          <w:tcPr>
            <w:tcW w:type="dxa" w:w="8208"/>
            <w:vAlign w:val="center"/>
          </w:tcPr>
          <w:p>
            <w:pPr>
              <w:spacing w:after="20"/>
            </w:pPr>
            <w:r/>
            <w:r>
              <w:rPr>
                <w:rFonts w:ascii="Aptos" w:hAnsi="Aptos"/>
                <w:b w:val="0"/>
                <w:color w:val="243247"/>
                <w:sz w:val="18"/>
              </w:rPr>
              <w:t>0xC5D9e40Aa244e30d7C0953D1Ecd76B7c42c31d26</w:t>
            </w:r>
          </w:p>
        </w:tc>
      </w:tr>
      <w:tr>
        <w:tc>
          <w:tcPr>
            <w:tcW w:type="dxa" w:w="2232"/>
            <w:vAlign w:val="center"/>
            <w:shd w:fill="EEF2FF"/>
          </w:tcPr>
          <w:p>
            <w:pPr>
              <w:spacing w:after="20"/>
            </w:pPr>
            <w:r/>
            <w:r>
              <w:rPr>
                <w:rFonts w:ascii="Aptos" w:hAnsi="Aptos"/>
                <w:b/>
                <w:color w:val="14233B"/>
                <w:sz w:val="18"/>
              </w:rPr>
              <w:t>Contract</w:t>
            </w:r>
          </w:p>
        </w:tc>
        <w:tc>
          <w:tcPr>
            <w:tcW w:type="dxa" w:w="8208"/>
            <w:vAlign w:val="center"/>
          </w:tcPr>
          <w:p>
            <w:pPr>
              <w:spacing w:after="20"/>
            </w:pPr>
            <w:r/>
            <w:r>
              <w:rPr>
                <w:rFonts w:ascii="Aptos" w:hAnsi="Aptos"/>
                <w:b w:val="0"/>
                <w:color w:val="243247"/>
                <w:sz w:val="18"/>
              </w:rPr>
              <w:t>0x91027C349BDF0aaad3EF3d964f24C94B7c07fDF2</w:t>
            </w:r>
          </w:p>
        </w:tc>
      </w:tr>
      <w:tr>
        <w:tc>
          <w:tcPr>
            <w:tcW w:type="dxa" w:w="2232"/>
            <w:vAlign w:val="center"/>
            <w:shd w:fill="EEF2FF"/>
          </w:tcPr>
          <w:p>
            <w:pPr>
              <w:spacing w:after="20"/>
            </w:pPr>
            <w:r/>
            <w:r>
              <w:rPr>
                <w:rFonts w:ascii="Aptos" w:hAnsi="Aptos"/>
                <w:b/>
                <w:color w:val="14233B"/>
                <w:sz w:val="18"/>
              </w:rPr>
              <w:t>Deployment tx</w:t>
            </w:r>
          </w:p>
        </w:tc>
        <w:tc>
          <w:tcPr>
            <w:tcW w:type="dxa" w:w="8208"/>
            <w:vAlign w:val="center"/>
          </w:tcPr>
          <w:p>
            <w:pPr>
              <w:spacing w:after="20"/>
            </w:pPr>
            <w:r/>
            <w:r>
              <w:rPr>
                <w:rFonts w:ascii="Aptos" w:hAnsi="Aptos"/>
                <w:b w:val="0"/>
                <w:color w:val="243247"/>
                <w:sz w:val="18"/>
              </w:rPr>
              <w:t>0x02924effcdb84ee68ffabd272b430ee4b2b7e526e16bbc484321dd4916bb57f7</w:t>
            </w:r>
          </w:p>
        </w:tc>
      </w:tr>
    </w:tbl>
    <w:p>
      <w:r>
        <w:br w:type="page"/>
      </w:r>
    </w:p>
    <w:p>
      <w:pPr>
        <w:pStyle w:val="Heading1"/>
        <w:keepNext/>
      </w:pPr>
      <w:r>
        <w:t>4. Verify a claim and anchor it</w:t>
      </w:r>
    </w:p>
    <w:p>
      <w:pPr>
        <w:pStyle w:val="ListNumber"/>
        <w:spacing w:after="60"/>
        <w:ind w:left="360" w:hanging="230"/>
      </w:pPr>
      <w:r>
        <w:rPr>
          <w:b/>
          <w:color w:val="14233B"/>
        </w:rPr>
        <w:t xml:space="preserve">Run a traceable task. </w:t>
      </w:r>
      <w:r>
        <w:t>In test-project, the test prompt created traceforge-blockchain-test.txt with the exact line “TraceForge evidence test 2026-10-22” and asked the agent to read it back.</w:t>
      </w:r>
    </w:p>
    <w:p>
      <w:pPr>
        <w:pStyle w:val="ListNumber"/>
        <w:spacing w:after="60"/>
        <w:ind w:left="360" w:hanging="230"/>
      </w:pPr>
      <w:r>
        <w:rPr>
          <w:b/>
          <w:color w:val="14233B"/>
        </w:rPr>
        <w:t xml:space="preserve">Check the verdict. </w:t>
      </w:r>
      <w:r>
        <w:t>Open the Evidence Audit / TraceForge dashboard and inspect the query. The File Created claim was VERIFIED because the captured trace showed the file was absent before and present afterward. The separate Command run claim was UNSUPPORTED, so it must not be anchored.</w:t>
      </w:r>
    </w:p>
    <w:p>
      <w:pPr>
        <w:pStyle w:val="ListNumber"/>
        <w:spacing w:after="60"/>
        <w:ind w:left="360" w:hanging="230"/>
      </w:pPr>
      <w:r>
        <w:rPr>
          <w:b/>
          <w:color w:val="14233B"/>
        </w:rPr>
        <w:t xml:space="preserve">Open the claim action. </w:t>
      </w:r>
      <w:r>
        <w:t>Expand the query and click Anchor on Sepolia beside the VERIFIED verdict, or open session details and use the Blockchain column. The action is available only for VERIFIED claims.</w:t>
      </w:r>
    </w:p>
    <w:p>
      <w:pPr>
        <w:pStyle w:val="ListNumber"/>
        <w:spacing w:after="60"/>
        <w:ind w:left="360" w:hanging="230"/>
      </w:pPr>
      <w:r>
        <w:rPr>
          <w:b/>
          <w:color w:val="14233B"/>
        </w:rPr>
        <w:t xml:space="preserve">Approve in MetaMask. </w:t>
      </w:r>
      <w:r>
        <w:t>Confirm the account is the deploying wallet and the network is Sepolia. Review the transaction and test-network fee, then approve. TraceForge waits for the receipt and shows Anchored after confirmation.</w:t>
      </w:r>
    </w:p>
    <w:p>
      <w:pPr>
        <w:pStyle w:val="ListNumber"/>
        <w:spacing w:after="60"/>
        <w:ind w:left="360" w:hanging="230"/>
      </w:pPr>
      <w:r>
        <w:rPr>
          <w:b/>
          <w:color w:val="14233B"/>
        </w:rPr>
        <w:t xml:space="preserve">Verify the result. </w:t>
      </w:r>
      <w:r>
        <w:t>Use the View transaction link in TraceForge or open the transaction in Sepolia Etherscan. A successful receipt and the Anchored label confirm completion.</w:t>
      </w:r>
    </w:p>
    <w:p>
      <w:pPr>
        <w:pStyle w:val="Heading2"/>
        <w:keepNext/>
      </w:pPr>
      <w:r>
        <w:t>Successful test record</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EEF2FF"/>
          </w:tcPr>
          <w:p>
            <w:pPr>
              <w:spacing w:after="20"/>
            </w:pPr>
            <w:r/>
            <w:r>
              <w:rPr>
                <w:rFonts w:ascii="Aptos" w:hAnsi="Aptos"/>
                <w:b/>
                <w:color w:val="14233B"/>
                <w:sz w:val="18"/>
              </w:rPr>
              <w:t>Claim</w:t>
            </w:r>
          </w:p>
        </w:tc>
        <w:tc>
          <w:tcPr>
            <w:tcW w:type="dxa" w:w="5083"/>
            <w:vAlign w:val="center"/>
          </w:tcPr>
          <w:p>
            <w:pPr>
              <w:spacing w:after="20"/>
            </w:pPr>
            <w:r/>
            <w:r>
              <w:rPr>
                <w:rFonts w:ascii="Aptos" w:hAnsi="Aptos"/>
                <w:b w:val="0"/>
                <w:color w:val="243247"/>
                <w:sz w:val="18"/>
              </w:rPr>
              <w:t>File Created: traceforge-blockchain-test.txt — VERIFIED</w:t>
            </w:r>
          </w:p>
        </w:tc>
      </w:tr>
      <w:tr>
        <w:tc>
          <w:tcPr>
            <w:tcW w:type="dxa" w:w="5083"/>
            <w:vAlign w:val="center"/>
            <w:shd w:fill="EEF2FF"/>
          </w:tcPr>
          <w:p>
            <w:pPr>
              <w:spacing w:after="20"/>
            </w:pPr>
            <w:r/>
            <w:r>
              <w:rPr>
                <w:rFonts w:ascii="Aptos" w:hAnsi="Aptos"/>
                <w:b/>
                <w:color w:val="14233B"/>
                <w:sz w:val="18"/>
              </w:rPr>
              <w:t>Anchor transaction</w:t>
            </w:r>
          </w:p>
        </w:tc>
        <w:tc>
          <w:tcPr>
            <w:tcW w:type="dxa" w:w="5083"/>
            <w:vAlign w:val="center"/>
          </w:tcPr>
          <w:p>
            <w:pPr>
              <w:spacing w:after="20"/>
            </w:pPr>
            <w:r/>
            <w:r>
              <w:rPr>
                <w:rFonts w:ascii="Aptos" w:hAnsi="Aptos"/>
                <w:b w:val="0"/>
                <w:color w:val="243247"/>
                <w:sz w:val="18"/>
              </w:rPr>
              <w:t>0xc5fc676c884d09512d0a22adfb387c90450f8634c9071129442b8c6f886554ad</w:t>
            </w:r>
          </w:p>
        </w:tc>
      </w:tr>
      <w:tr>
        <w:tc>
          <w:tcPr>
            <w:tcW w:type="dxa" w:w="5083"/>
            <w:vAlign w:val="center"/>
            <w:shd w:fill="EEF2FF"/>
          </w:tcPr>
          <w:p>
            <w:pPr>
              <w:spacing w:after="20"/>
            </w:pPr>
            <w:r/>
            <w:r>
              <w:rPr>
                <w:rFonts w:ascii="Aptos" w:hAnsi="Aptos"/>
                <w:b/>
                <w:color w:val="14233B"/>
                <w:sz w:val="18"/>
              </w:rPr>
              <w:t>Explorer</w:t>
            </w:r>
          </w:p>
        </w:tc>
        <w:tc>
          <w:tcPr>
            <w:tcW w:type="dxa" w:w="5083"/>
            <w:vAlign w:val="center"/>
          </w:tcPr>
          <w:p>
            <w:pPr>
              <w:spacing w:after="20"/>
            </w:pPr>
            <w:r/>
            <w:r>
              <w:rPr>
                <w:rFonts w:ascii="Aptos" w:hAnsi="Aptos"/>
                <w:b w:val="0"/>
                <w:color w:val="243247"/>
                <w:sz w:val="18"/>
              </w:rPr>
              <w:t>Sepolia Etherscan transaction record</w:t>
            </w:r>
            <w:r>
              <w:t xml:space="preserve"> </w:t>
            </w:r>
            <w:hyperlink r:id="rId9">
              <w:r>
                <w:rPr>
                  <w:color w:val="4F46E5"/>
                  <w:u w:val="single"/>
                </w:rPr>
                <w:t>Open successful anchor transaction</w:t>
              </w:r>
            </w:hyperlink>
          </w:p>
        </w:tc>
      </w:tr>
      <w:tr>
        <w:tc>
          <w:tcPr>
            <w:tcW w:type="dxa" w:w="5083"/>
            <w:vAlign w:val="center"/>
            <w:shd w:fill="EEF2FF"/>
          </w:tcPr>
          <w:p>
            <w:pPr>
              <w:spacing w:after="20"/>
            </w:pPr>
            <w:r/>
            <w:r>
              <w:rPr>
                <w:rFonts w:ascii="Aptos" w:hAnsi="Aptos"/>
                <w:b/>
                <w:color w:val="14233B"/>
                <w:sz w:val="18"/>
              </w:rPr>
              <w:t>Result</w:t>
            </w:r>
          </w:p>
        </w:tc>
        <w:tc>
          <w:tcPr>
            <w:tcW w:type="dxa" w:w="5083"/>
            <w:vAlign w:val="center"/>
          </w:tcPr>
          <w:p>
            <w:pPr>
              <w:spacing w:after="20"/>
            </w:pPr>
            <w:r/>
            <w:r>
              <w:rPr>
                <w:rFonts w:ascii="Aptos" w:hAnsi="Aptos"/>
                <w:b w:val="0"/>
                <w:color w:val="243247"/>
                <w:sz w:val="18"/>
              </w:rPr>
              <w:t>Confirmed on Sepolia; TraceForge displayed Anchored</w:t>
            </w:r>
          </w:p>
        </w:tc>
      </w:tr>
    </w:tbl>
    <w:p>
      <w:pPr>
        <w:spacing w:before="160"/>
      </w:pPr>
      <w:r>
        <w:rPr>
          <w:b/>
          <w:color w:val="4F46E5"/>
        </w:rPr>
        <w:t xml:space="preserve">If the button is missing: </w:t>
      </w:r>
      <w:r>
        <w:t>refresh the dashboard, expand the correct query, and check that the specific claim verdict is VERIFIED. If MetaMask reports a failed transaction, inspect the Sepolia receipt; the first attempt failed from insufficient gas, so the app now requests 1,500,000 gas for the anchor call.</w:t>
      </w:r>
    </w:p>
    <w:p>
      <w:pPr>
        <w:spacing w:before="160"/>
      </w:pPr>
      <w:r>
        <w:rPr>
          <w:b/>
          <w:color w:val="14233B"/>
        </w:rPr>
        <w:t xml:space="preserve">Key distinction. </w:t>
      </w:r>
      <w:r>
        <w:t>Deploying creates the registry contract once. Anchoring is a separate transaction for each VERIFIED claim.</w:t>
      </w:r>
    </w:p>
    <w:sectPr w:rsidR="00FC693F" w:rsidRPr="0006063C"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color w:val="24324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w:hAnsi="Aptos"/>
      <w:b/>
      <w:bCs/>
      <w:color w:val="14233B"/>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w:hAnsi="Aptos"/>
      <w:b/>
      <w:bCs/>
      <w:color w:val="4F46E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before="0"/>
      <w:contextualSpacing/>
    </w:pPr>
    <w:rPr>
      <w:rFonts w:asciiTheme="majorHAnsi" w:eastAsiaTheme="majorEastAsia" w:hAnsiTheme="majorHAnsi" w:cstheme="majorBidi" w:ascii="Aptos Display" w:hAnsi="Aptos Display"/>
      <w:b/>
      <w:color w:val="14233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polia.etherscan.io/tx/0xc5fc676c884d09512d0a22adfb387c90450f8634c9071129442b8c6f886554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TraceForge Blockchain Setup and Successful Claim Anchoring</dc:title>
  <dc:subject>Beginner guide from MetaMask account setup through Sepolia claim anchoring</dc:subject>
  <dc:creator>TraceForge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