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Homework 8</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Stat 21 </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Due: Thursday, April 14th midnight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For this assignment, I want you to search around the internet to find an example of "bad statistics". This phrase is used very broadly and not as a judgment on the people doing the analysis, rather on the analysis itself.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assignment will be graded for completion but in order to receive full credit you must include the following components outlined below. Try to keep your submission to one page in length and include headers for easy reading.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Describe the statistical analysis and research question </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Include the source where you found this analysis referenced as "bad statistics" </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Also, include the original source whenever possible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Identify where you think mistakes occurred and why you think they occurred </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Think broadly about the steps of modeling: choose, fit, assess, use</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Also reflect on study design and data collection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Connect the analysis to the ASA's guidelines for</w:t>
      </w:r>
      <w:hyperlink r:id="rId6">
        <w:r w:rsidDel="00000000" w:rsidR="00000000" w:rsidRPr="00000000">
          <w:rPr>
            <w:color w:val="1155cc"/>
            <w:sz w:val="24"/>
            <w:szCs w:val="24"/>
            <w:u w:val="single"/>
            <w:rtl w:val="0"/>
          </w:rPr>
          <w:t xml:space="preserve"> Ethical Statistical Practice</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Which principles do you think were violated? </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Were these violations intentional? How could you tell?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Unlike other homework assignments, you have nine days to submit HW 8. As with other homework assignments however, no late submissions will be accepted. (Note, you do not need to use RMarkdown for this assignment but if you want more experience, I recommend adjusting the final project template and practicing incorporating references into the document.)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stat.org/your-career/ethical-guidelines-for-statistical-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