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D198" w14:textId="77777777" w:rsidR="001F42BE" w:rsidRDefault="00000000">
      <w:pPr>
        <w:spacing w:after="120"/>
        <w:jc w:val="center"/>
      </w:pPr>
      <w:r>
        <w:rPr>
          <w:b/>
          <w:bCs/>
          <w:color w:val="1F4E79"/>
          <w:sz w:val="32"/>
          <w:szCs w:val="32"/>
        </w:rPr>
        <w:t>Pre-Registration Protocol</w:t>
      </w:r>
    </w:p>
    <w:p w14:paraId="725766F1" w14:textId="77777777" w:rsidR="001F42BE" w:rsidRDefault="00000000">
      <w:pPr>
        <w:spacing w:after="120"/>
        <w:jc w:val="center"/>
      </w:pPr>
      <w:r>
        <w:rPr>
          <w:b/>
          <w:bCs/>
          <w:sz w:val="26"/>
          <w:szCs w:val="26"/>
        </w:rPr>
        <w:t>OHDSI in the Era of Medical AI: A Global Community Inquiry into Standardization Tensions and Infrastructure Roles for Mitigating Known AI Failure Modes</w:t>
      </w:r>
    </w:p>
    <w:p w14:paraId="03D297B4" w14:textId="77777777" w:rsidR="006623C3" w:rsidRDefault="006623C3" w:rsidP="006623C3">
      <w:pPr>
        <w:pBdr>
          <w:top w:val="nil"/>
          <w:left w:val="nil"/>
          <w:bottom w:val="nil"/>
          <w:right w:val="nil"/>
          <w:between w:val="nil"/>
        </w:pBdr>
        <w:jc w:val="right"/>
        <w:rPr>
          <w:rFonts w:eastAsia="Calibri"/>
          <w:color w:val="595959"/>
        </w:rPr>
      </w:pPr>
    </w:p>
    <w:p w14:paraId="485571F9" w14:textId="2870A0B9" w:rsidR="006623C3" w:rsidRDefault="00204AF1" w:rsidP="006623C3">
      <w:pPr>
        <w:pBdr>
          <w:top w:val="nil"/>
          <w:left w:val="nil"/>
          <w:bottom w:val="nil"/>
          <w:right w:val="nil"/>
          <w:between w:val="nil"/>
        </w:pBdr>
        <w:jc w:val="right"/>
        <w:rPr>
          <w:rFonts w:eastAsia="Calibri"/>
          <w:color w:val="595959"/>
          <w:vertAlign w:val="superscript"/>
        </w:rPr>
      </w:pPr>
      <w:r w:rsidRPr="00204AF1">
        <w:rPr>
          <w:rFonts w:eastAsia="Calibri"/>
          <w:color w:val="595959"/>
        </w:rPr>
        <w:t>Jiwon Um</w:t>
      </w:r>
      <w:r w:rsidRPr="00204AF1">
        <w:rPr>
          <w:rFonts w:eastAsia="Calibri"/>
          <w:color w:val="595959"/>
          <w:vertAlign w:val="superscript"/>
        </w:rPr>
        <w:t>1</w:t>
      </w:r>
      <w:r>
        <w:rPr>
          <w:rFonts w:eastAsia="Calibri" w:hint="eastAsia"/>
          <w:color w:val="595959"/>
          <w:vertAlign w:val="superscript"/>
        </w:rPr>
        <w:t>,2</w:t>
      </w:r>
      <w:r w:rsidRPr="00204AF1">
        <w:rPr>
          <w:rFonts w:eastAsia="Calibri"/>
          <w:color w:val="595959"/>
        </w:rPr>
        <w:t>, Seng Chan You</w:t>
      </w:r>
      <w:r w:rsidRPr="00204AF1">
        <w:rPr>
          <w:rFonts w:eastAsia="Calibri"/>
          <w:color w:val="595959"/>
          <w:vertAlign w:val="superscript"/>
        </w:rPr>
        <w:t>1,2</w:t>
      </w:r>
    </w:p>
    <w:p w14:paraId="71E144F7" w14:textId="77777777" w:rsidR="006623C3" w:rsidRPr="006623C3" w:rsidRDefault="00204AF1" w:rsidP="006623C3">
      <w:pPr>
        <w:pBdr>
          <w:top w:val="nil"/>
          <w:left w:val="nil"/>
          <w:bottom w:val="nil"/>
          <w:right w:val="nil"/>
          <w:between w:val="nil"/>
        </w:pBdr>
        <w:jc w:val="right"/>
        <w:rPr>
          <w:rFonts w:eastAsia="Calibri"/>
          <w:color w:val="595959"/>
          <w:sz w:val="15"/>
          <w:szCs w:val="15"/>
        </w:rPr>
      </w:pPr>
      <w:r w:rsidRPr="006623C3">
        <w:rPr>
          <w:rFonts w:eastAsia="Calibri"/>
          <w:color w:val="595959"/>
          <w:sz w:val="16"/>
          <w:szCs w:val="16"/>
        </w:rPr>
        <w:br/>
      </w:r>
      <w:r w:rsidR="006623C3" w:rsidRPr="006623C3">
        <w:rPr>
          <w:rFonts w:eastAsia="Calibri"/>
          <w:color w:val="595959"/>
          <w:sz w:val="15"/>
          <w:szCs w:val="15"/>
          <w:vertAlign w:val="superscript"/>
        </w:rPr>
        <w:t>1</w:t>
      </w:r>
      <w:r w:rsidR="006623C3" w:rsidRPr="006623C3">
        <w:rPr>
          <w:rFonts w:eastAsia="Calibri"/>
          <w:color w:val="595959"/>
          <w:sz w:val="15"/>
          <w:szCs w:val="15"/>
        </w:rPr>
        <w:t xml:space="preserve"> Department of Biomedical Systems Informatics, Yonsei University College of Medicine, Seoul, Republic of Korea</w:t>
      </w:r>
    </w:p>
    <w:p w14:paraId="6A1FAF3D" w14:textId="77777777" w:rsidR="006623C3" w:rsidRPr="006623C3" w:rsidRDefault="006623C3" w:rsidP="006623C3">
      <w:pPr>
        <w:pBdr>
          <w:top w:val="nil"/>
          <w:left w:val="nil"/>
          <w:bottom w:val="nil"/>
          <w:right w:val="nil"/>
          <w:between w:val="nil"/>
        </w:pBdr>
        <w:jc w:val="right"/>
        <w:rPr>
          <w:rFonts w:eastAsia="Calibri"/>
          <w:color w:val="595959"/>
          <w:sz w:val="15"/>
          <w:szCs w:val="15"/>
        </w:rPr>
      </w:pPr>
      <w:r w:rsidRPr="006623C3">
        <w:rPr>
          <w:rFonts w:eastAsia="Calibri"/>
          <w:color w:val="595959"/>
          <w:sz w:val="15"/>
          <w:szCs w:val="15"/>
        </w:rPr>
        <w:t xml:space="preserve"> </w:t>
      </w:r>
      <w:r w:rsidRPr="006623C3">
        <w:rPr>
          <w:rFonts w:eastAsia="Calibri"/>
          <w:color w:val="595959"/>
          <w:sz w:val="15"/>
          <w:szCs w:val="15"/>
          <w:vertAlign w:val="superscript"/>
        </w:rPr>
        <w:t>2</w:t>
      </w:r>
      <w:r w:rsidRPr="006623C3">
        <w:rPr>
          <w:rFonts w:eastAsia="Calibri"/>
          <w:color w:val="595959"/>
          <w:sz w:val="15"/>
          <w:szCs w:val="15"/>
        </w:rPr>
        <w:t xml:space="preserve"> Yonsei Institute for Digital Health, Yonsei University, Seoul, Republic of Korea</w:t>
      </w:r>
    </w:p>
    <w:p w14:paraId="2A5AE5A9" w14:textId="5C92AC92" w:rsidR="0029253E" w:rsidRPr="006623C3" w:rsidRDefault="0029253E" w:rsidP="006623C3">
      <w:pPr>
        <w:pBdr>
          <w:top w:val="nil"/>
          <w:left w:val="nil"/>
          <w:bottom w:val="nil"/>
          <w:right w:val="nil"/>
          <w:between w:val="nil"/>
        </w:pBdr>
        <w:jc w:val="center"/>
        <w:rPr>
          <w:rFonts w:eastAsia="Calibri"/>
          <w:color w:val="595959"/>
          <w:sz w:val="21"/>
          <w:szCs w:val="21"/>
        </w:rPr>
      </w:pPr>
    </w:p>
    <w:p w14:paraId="2D113EBA" w14:textId="77777777" w:rsidR="001F42BE" w:rsidRDefault="00000000">
      <w:pPr>
        <w:pStyle w:val="Heading1"/>
      </w:pPr>
      <w:r>
        <w:t>1. Background and Rationale</w:t>
      </w:r>
    </w:p>
    <w:p w14:paraId="09A0300D" w14:textId="15F4F4C0" w:rsidR="001F42BE" w:rsidRDefault="00081AE4">
      <w:pPr>
        <w:spacing w:before="80" w:after="80" w:line="300" w:lineRule="auto"/>
        <w:jc w:val="both"/>
      </w:pPr>
      <w:r>
        <w:t>Medical artificial intelligence (AI) is rapidly transitioning from research artifact to clinical infrastructure. Within this transition, the rise of large language models (LLMs) and multimodal foundation models has begun to reshape assumptions about how biomedical data must be prepared, stored, and shared. Capabilities such as direct processing of unstructured text, schema-flexible learning, and automated mapping raise a question that was unthinkable only a few years ago: in an era of foundation models, does structured data standardization remain essential — or is it becoming a legacy cost?</w:t>
      </w:r>
    </w:p>
    <w:p w14:paraId="3E122B92" w14:textId="6723C494" w:rsidR="00081AE4" w:rsidRPr="00081AE4" w:rsidRDefault="00081AE4">
      <w:pPr>
        <w:spacing w:before="80" w:after="80" w:line="300" w:lineRule="auto"/>
        <w:jc w:val="both"/>
        <w:rPr>
          <w:lang w:val="en-US"/>
        </w:rPr>
      </w:pPr>
      <w:r>
        <w:rPr>
          <w:lang w:val="en-US"/>
        </w:rPr>
        <w:t xml:space="preserve">For over a decade, the Observational Health Data Sciences and Informatics (OHDSI) community has built infrastructure premised on the value of standardization: the OMOP CDM, comprehensive vocabularies (SNOMED CT, </w:t>
      </w:r>
      <w:proofErr w:type="spellStart"/>
      <w:r>
        <w:rPr>
          <w:lang w:val="en-US"/>
        </w:rPr>
        <w:t>RxNorm</w:t>
      </w:r>
      <w:proofErr w:type="spellEnd"/>
      <w:r>
        <w:rPr>
          <w:lang w:val="en-US"/>
        </w:rPr>
        <w:t xml:space="preserve">, LOINC), federated networks enabling external validation, and an open-source methodology stack (HADES, ATLAS, LEGEND) emphasizing reproducibility. This infrastructure represents one of the largest collective investments in health-data standardization to date. </w:t>
      </w:r>
    </w:p>
    <w:p w14:paraId="137C523B" w14:textId="15434EE5" w:rsidR="00081AE4" w:rsidRDefault="00081AE4">
      <w:pPr>
        <w:spacing w:before="80" w:after="80" w:line="300" w:lineRule="auto"/>
        <w:jc w:val="both"/>
      </w:pPr>
      <w:r>
        <w:t>Foundation models place this investment under genuine tension. On one side, advances in unstru</w:t>
      </w:r>
      <w:r w:rsidR="00E11161" w:rsidRPr="00E11161">
        <w:t>ctur</w:t>
      </w:r>
      <w:r>
        <w:t>ed-text processing and schema-flexible learning prompt some to question whether structured ETL into OMOP retains a favorable cost-benefit ratio, and whether multimodal data (imaging, waveforms, genomics) can be accom</w:t>
      </w:r>
      <w:r w:rsidR="00E11161">
        <w:t>m</w:t>
      </w:r>
      <w:r>
        <w:t>odated within a tabular model at all. On the other, federated validation, hallucination control, and multi-site reproducib</w:t>
      </w:r>
      <w:r w:rsidR="00E11161" w:rsidRPr="00E11161">
        <w:t>ilit</w:t>
      </w:r>
      <w:r>
        <w:t>y appear to require, rather than supersede, a common semantic layer. This is not a hypoth</w:t>
      </w:r>
      <w:r w:rsidR="00E11161">
        <w:t>et</w:t>
      </w:r>
      <w:r>
        <w:t xml:space="preserve">ical debate; it is actively shaping investment decisions across working groups, member institutions, and external partners. Whether standardization remains </w:t>
      </w:r>
      <w:r w:rsidR="00E11161">
        <w:t xml:space="preserve">a </w:t>
      </w:r>
      <w:r>
        <w:t>trust mechanism or becomes a legacy cost is, we argue, the defining infrastru</w:t>
      </w:r>
      <w:r w:rsidR="00E11161" w:rsidRPr="00E11161">
        <w:t>ctur</w:t>
      </w:r>
      <w:r>
        <w:t xml:space="preserve">al question for OHDSI in the AI era – and the community has not yet systematically examined where it actually stands, nor where it is internally divided. </w:t>
      </w:r>
    </w:p>
    <w:p w14:paraId="416B0FBB" w14:textId="77E6119F" w:rsidR="001F42BE" w:rsidRPr="00A83AF1" w:rsidRDefault="00081AE4">
      <w:pPr>
        <w:spacing w:before="80" w:after="80" w:line="300" w:lineRule="auto"/>
        <w:jc w:val="both"/>
      </w:pPr>
      <w:r>
        <w:t xml:space="preserve">A second, related question concerns what kinds of AI failures this infrastructure might help prevent. Drawing </w:t>
      </w:r>
      <w:r w:rsidR="00A83AF1">
        <w:t xml:space="preserve">on the recent "Seven Deadly Sins of Medical AI" framework </w:t>
      </w:r>
      <w:r>
        <w:t xml:space="preserve">catalogued by Müller et al. (2026),¹ we examine four that fall within OHDSI's structural scope — asking how well the community believes its </w:t>
      </w:r>
      <w:r w:rsidRPr="00A83AF1">
        <w:t>infrastructure is positioned to mitigate them.</w:t>
      </w:r>
    </w:p>
    <w:p w14:paraId="061CB41F" w14:textId="622AAC66" w:rsidR="00A83AF1" w:rsidRDefault="00A83AF1">
      <w:pPr>
        <w:spacing w:before="80" w:after="80" w:line="300" w:lineRule="auto"/>
        <w:jc w:val="both"/>
      </w:pPr>
      <w:r w:rsidRPr="00A83AF1">
        <w:t xml:space="preserve">This study therefore addresses two gaps. </w:t>
      </w:r>
      <w:r w:rsidRPr="00A83AF1">
        <w:rPr>
          <w:rStyle w:val="Strong"/>
          <w:b w:val="0"/>
          <w:bCs w:val="0"/>
        </w:rPr>
        <w:t>First</w:t>
      </w:r>
      <w:r w:rsidRPr="00A83AF1">
        <w:rPr>
          <w:b/>
          <w:bCs/>
        </w:rPr>
        <w:t xml:space="preserve"> </w:t>
      </w:r>
      <w:r w:rsidRPr="00A83AF1">
        <w:t xml:space="preserve">— our primary inquiry — the community has not measured its own position on the role of standardization under foundation-model pressure, including its internal </w:t>
      </w:r>
      <w:r w:rsidRPr="00A83AF1">
        <w:lastRenderedPageBreak/>
        <w:t xml:space="preserve">divergence. </w:t>
      </w:r>
      <w:r w:rsidRPr="00A83AF1">
        <w:rPr>
          <w:rStyle w:val="Strong"/>
          <w:b w:val="0"/>
          <w:bCs w:val="0"/>
        </w:rPr>
        <w:t>Second</w:t>
      </w:r>
      <w:r w:rsidRPr="00A83AF1">
        <w:t>, the community has not assessed how its infrastructure maps onto contemporary medical-AI failure modes. We frame both as inquiry,</w:t>
      </w:r>
      <w:r>
        <w:t xml:space="preserve"> not advocacy: the sample is drawn from a community already committed to standardization, so our analytic interest lies in </w:t>
      </w:r>
      <w:r>
        <w:rPr>
          <w:rStyle w:val="Emphasis"/>
        </w:rPr>
        <w:t>within-community variation</w:t>
      </w:r>
      <w:r>
        <w:t>, not in aggregate endorsement.</w:t>
      </w:r>
    </w:p>
    <w:p w14:paraId="207EDBC7" w14:textId="77777777" w:rsidR="001F42BE" w:rsidRDefault="00000000">
      <w:pPr>
        <w:pStyle w:val="Heading2"/>
      </w:pPr>
      <w:r>
        <w:t>1.1 Relationship to prior work</w:t>
      </w:r>
    </w:p>
    <w:p w14:paraId="3DC23164" w14:textId="16AB627E" w:rsidR="001F42BE" w:rsidRDefault="007464B5">
      <w:pPr>
        <w:spacing w:before="80" w:after="80" w:line="300" w:lineRule="auto"/>
        <w:jc w:val="both"/>
      </w:pPr>
      <w:r>
        <w:t>The standardization question we pose is, to our knowledge, not addressed in the existing literature: prior work on OMOP and OHDSI infrastructure predates the foundation-model era, and recent commentary on foundation models in healthcare has not examined what their rise implies for community-scale data standardization. Our primary contribution is to bring this question to the community that has invested most heavily in standardization, and to measure where that community actually stands.</w:t>
      </w:r>
    </w:p>
    <w:p w14:paraId="5DEDA9D6" w14:textId="7AA9EB3C" w:rsidR="001F42BE" w:rsidRPr="00456384" w:rsidRDefault="007464B5">
      <w:pPr>
        <w:spacing w:before="80" w:after="80" w:line="300" w:lineRule="auto"/>
        <w:jc w:val="both"/>
        <w:rPr>
          <w:lang w:val="en-US"/>
        </w:rPr>
      </w:pPr>
      <w:r>
        <w:t>Our use of the Müller et al. (2026) framework is deliberately bounded. Where Müller et al. surveyed a broad global panel to establish that these failure modes are widely recognized, we ask a narrower, situated question: among the subset of failure modes where OHDSI infrastructure has plausible mechanistic leverage, how does a single technical community — the candidate implementers of any mitigation — assess its own positioning? We adopt their taxonomy as a naming convention</w:t>
      </w:r>
      <w:r w:rsidR="00456384">
        <w:rPr>
          <w:rFonts w:hint="eastAsia"/>
        </w:rPr>
        <w:t>, not as an object of revalidation.</w:t>
      </w:r>
    </w:p>
    <w:p w14:paraId="01994EC9" w14:textId="77777777" w:rsidR="001F42BE" w:rsidRDefault="00000000">
      <w:pPr>
        <w:pStyle w:val="Heading1"/>
      </w:pPr>
      <w:r>
        <w:t>2. Objectives and Research Questions</w:t>
      </w:r>
    </w:p>
    <w:p w14:paraId="717038E7" w14:textId="77777777" w:rsidR="001F42BE" w:rsidRDefault="00000000">
      <w:pPr>
        <w:pStyle w:val="Heading2"/>
      </w:pPr>
      <w:r>
        <w:t>2.1 Primary research questions</w:t>
      </w:r>
    </w:p>
    <w:p w14:paraId="51E7275C" w14:textId="77777777" w:rsidR="00141D9D" w:rsidRDefault="00141D9D">
      <w:pPr>
        <w:pStyle w:val="ListParagraph"/>
        <w:numPr>
          <w:ilvl w:val="0"/>
          <w:numId w:val="2"/>
        </w:numPr>
        <w:spacing w:before="40" w:after="40" w:line="300" w:lineRule="auto"/>
      </w:pPr>
      <w:r>
        <w:t>How does the OHDSI community position itself on the role of data standardization (OMOP CDM, comprehensive vocabularies) in an era of advancing AI and foundation models — and where is it internally divided?</w:t>
      </w:r>
    </w:p>
    <w:p w14:paraId="3CC7BD1C" w14:textId="1D817674" w:rsidR="001F42BE" w:rsidRDefault="00000000">
      <w:pPr>
        <w:pStyle w:val="ListParagraph"/>
        <w:numPr>
          <w:ilvl w:val="0"/>
          <w:numId w:val="2"/>
        </w:numPr>
        <w:spacing w:before="40" w:after="40" w:line="300" w:lineRule="auto"/>
      </w:pPr>
      <w:r>
        <w:t>Among the medical-AI failure modes identified</w:t>
      </w:r>
      <w:r w:rsidR="00141D9D">
        <w:t xml:space="preserve"> </w:t>
      </w:r>
      <w:r>
        <w:t>that fall within OHDSI's structural scope, which does the community perceive as most amenable to mitigation by OHDSI infrastructure?</w:t>
      </w:r>
    </w:p>
    <w:p w14:paraId="55AEA6C6" w14:textId="77777777" w:rsidR="001F42BE" w:rsidRDefault="00000000">
      <w:pPr>
        <w:pStyle w:val="Heading2"/>
      </w:pPr>
      <w:r>
        <w:t>2.2 Secondary research questions</w:t>
      </w:r>
    </w:p>
    <w:p w14:paraId="2840DE56" w14:textId="77777777" w:rsidR="001F42BE" w:rsidRDefault="00000000">
      <w:pPr>
        <w:pStyle w:val="ListParagraph"/>
        <w:numPr>
          <w:ilvl w:val="0"/>
          <w:numId w:val="2"/>
        </w:numPr>
        <w:spacing w:before="40" w:after="40" w:line="300" w:lineRule="auto"/>
      </w:pPr>
      <w:r>
        <w:t>How do positions on standardization vary by AI/ML integration level, OHDSI tenure, region, role, and institution type?</w:t>
      </w:r>
    </w:p>
    <w:p w14:paraId="00F45511" w14:textId="77777777" w:rsidR="00141D9D" w:rsidRPr="00141D9D" w:rsidRDefault="00141D9D">
      <w:pPr>
        <w:pStyle w:val="ListParagraph"/>
        <w:numPr>
          <w:ilvl w:val="0"/>
          <w:numId w:val="2"/>
        </w:numPr>
        <w:spacing w:before="40" w:after="40" w:line="300" w:lineRule="auto"/>
      </w:pPr>
      <w:r>
        <w:rPr>
          <w:lang w:val="en-US"/>
        </w:rPr>
        <w:t xml:space="preserve">Across the four examined failure modes, which does the community perceive OHDSI infrastructure as best positioned to mitigate? </w:t>
      </w:r>
    </w:p>
    <w:p w14:paraId="62D69622" w14:textId="553F1D74" w:rsidR="001F42BE" w:rsidRDefault="00141D9D">
      <w:pPr>
        <w:pStyle w:val="ListParagraph"/>
        <w:numPr>
          <w:ilvl w:val="0"/>
          <w:numId w:val="2"/>
        </w:numPr>
        <w:spacing w:before="40" w:after="40" w:line="300" w:lineRule="auto"/>
      </w:pPr>
      <w:r>
        <w:t xml:space="preserve">What future role and near-term community priorities does the membership most strongly endorse? </w:t>
      </w:r>
    </w:p>
    <w:p w14:paraId="5D4A7309" w14:textId="77777777" w:rsidR="001F42BE" w:rsidRDefault="00000000">
      <w:pPr>
        <w:pStyle w:val="Heading2"/>
      </w:pPr>
      <w:r>
        <w:t>2.3 Pre-specified hypotheses</w:t>
      </w:r>
    </w:p>
    <w:p w14:paraId="121D8832" w14:textId="182116BC" w:rsidR="001F42BE" w:rsidRDefault="001F42BE" w:rsidP="007D5C98">
      <w:pPr>
        <w:spacing w:before="80" w:after="8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402"/>
        <w:gridCol w:w="2844"/>
      </w:tblGrid>
      <w:tr w:rsidR="001F42BE" w14:paraId="5DC952E6" w14:textId="77777777" w:rsidTr="007D5C98">
        <w:trPr>
          <w:tblHeader/>
        </w:trPr>
        <w:tc>
          <w:tcPr>
            <w:tcW w:w="311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11FE9C44" w14:textId="77777777" w:rsidR="001F42BE" w:rsidRDefault="00000000">
            <w:pPr>
              <w:spacing w:before="40" w:after="40"/>
            </w:pPr>
            <w:r>
              <w:rPr>
                <w:b/>
                <w:bCs/>
              </w:rPr>
              <w:lastRenderedPageBreak/>
              <w:t>Hypothesis</w:t>
            </w:r>
          </w:p>
        </w:tc>
        <w:tc>
          <w:tcPr>
            <w:tcW w:w="340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6FBD95B9" w14:textId="77777777" w:rsidR="001F42BE" w:rsidRDefault="00000000">
            <w:pPr>
              <w:spacing w:before="40" w:after="40"/>
            </w:pPr>
            <w:r>
              <w:rPr>
                <w:b/>
                <w:bCs/>
              </w:rPr>
              <w:t>Operationalization</w:t>
            </w:r>
          </w:p>
        </w:tc>
        <w:tc>
          <w:tcPr>
            <w:tcW w:w="284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5725BCD0" w14:textId="77777777" w:rsidR="001F42BE" w:rsidRDefault="00000000">
            <w:pPr>
              <w:spacing w:before="40" w:after="40"/>
            </w:pPr>
            <w:r>
              <w:rPr>
                <w:b/>
                <w:bCs/>
              </w:rPr>
              <w:t>Primary statistical test</w:t>
            </w:r>
          </w:p>
        </w:tc>
      </w:tr>
      <w:tr w:rsidR="001F42BE" w14:paraId="3E61082B" w14:textId="77777777" w:rsidTr="007D5C98">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7E2B82" w14:textId="77777777" w:rsidR="001F42BE" w:rsidRDefault="00000000">
            <w:pPr>
              <w:spacing w:before="40" w:after="40"/>
            </w:pPr>
            <w:r>
              <w:t>H1: The community endorses standardization as remaining essential in the AI era.</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57C78E" w14:textId="32D51A0B" w:rsidR="001F42BE" w:rsidRDefault="00000000">
            <w:pPr>
              <w:spacing w:before="40" w:after="40"/>
            </w:pPr>
            <w:r>
              <w:t>Mean agreement on pro-standardization items  ≥ 3.5 on the 5-point scale.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8F8EAB" w14:textId="0FA08CFA" w:rsidR="001F42BE" w:rsidRPr="007D5C98" w:rsidRDefault="00000000">
            <w:pPr>
              <w:spacing w:before="40" w:after="40"/>
            </w:pPr>
            <w:r>
              <w:t>One-sample t-test</w:t>
            </w:r>
            <w:r w:rsidR="007D5C98">
              <w:t xml:space="preserve"> vs. midpoint</w:t>
            </w:r>
          </w:p>
        </w:tc>
      </w:tr>
      <w:tr w:rsidR="001F42BE" w14:paraId="7366D228" w14:textId="77777777" w:rsidTr="007D5C98">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B832F7E" w14:textId="77777777" w:rsidR="001F42BE" w:rsidRDefault="00000000">
            <w:pPr>
              <w:spacing w:before="40" w:after="40"/>
            </w:pPr>
            <w:r>
              <w:t>H2: The community is divided on whether AI advances reduce the marginal value of structured ETL.</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2C1AE64" w14:textId="1545183A" w:rsidR="001F42BE" w:rsidRDefault="007D5C98">
            <w:pPr>
              <w:spacing w:before="40" w:after="40"/>
            </w:pPr>
            <w:r>
              <w:t>Reverse-scored items show no modal majority (&gt; 50%).</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4C2651" w14:textId="2C2DEA2C" w:rsidR="001F42BE" w:rsidRDefault="00000000">
            <w:pPr>
              <w:spacing w:before="40" w:after="40"/>
            </w:pPr>
            <w:r>
              <w:t>Distributional summary</w:t>
            </w:r>
          </w:p>
        </w:tc>
      </w:tr>
      <w:tr w:rsidR="001F42BE" w14:paraId="7F560328" w14:textId="77777777" w:rsidTr="007D5C98">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99357A" w14:textId="77777777" w:rsidR="001F42BE" w:rsidRDefault="00000000">
            <w:pPr>
              <w:spacing w:before="40" w:after="40"/>
            </w:pPr>
            <w:r>
              <w:t>H3: AI integration level predicts standardization stance.</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A56734" w14:textId="25B1F562" w:rsidR="001F42BE" w:rsidRDefault="00000000">
            <w:pPr>
              <w:spacing w:before="40" w:after="40"/>
            </w:pPr>
            <w:r>
              <w:t>Fully integrated respondents show higher mean agreement on pro-standardization items than aspirational/parallel respondents.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752695" w14:textId="2DF1EF42" w:rsidR="001F42BE" w:rsidRDefault="00000000">
            <w:pPr>
              <w:spacing w:before="40" w:after="40"/>
            </w:pPr>
            <w:r>
              <w:t>Ordinal regression</w:t>
            </w:r>
            <w:r w:rsidR="007D5C98">
              <w:t>. Adjusted for region, role, tenure.</w:t>
            </w:r>
          </w:p>
        </w:tc>
      </w:tr>
      <w:tr w:rsidR="001F42BE" w14:paraId="65388F97" w14:textId="77777777" w:rsidTr="007D5C98">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1C41E5A" w14:textId="663DC7B8" w:rsidR="001F42BE" w:rsidRDefault="00000000">
            <w:pPr>
              <w:spacing w:before="40" w:after="40"/>
            </w:pPr>
            <w:r>
              <w:t xml:space="preserve">H4: </w:t>
            </w:r>
            <w:r w:rsidR="007D5C98">
              <w:t>P</w:t>
            </w:r>
            <w:r>
              <w:t>erceived</w:t>
            </w:r>
            <w:r w:rsidR="007D5C98">
              <w:t xml:space="preserve"> OHDSI mitigation potential differs across the four examined failure modes.</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CD3018" w14:textId="5CA8AFCE" w:rsidR="001F42BE" w:rsidRDefault="007D5C98">
            <w:pPr>
              <w:spacing w:before="40" w:after="40"/>
            </w:pPr>
            <w:r>
              <w:t>Mitigation scores differ across the four modes.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BAFAEA" w14:textId="6A67900A" w:rsidR="001F42BE" w:rsidRPr="002244B8" w:rsidRDefault="00322943">
            <w:pPr>
              <w:spacing w:before="40" w:after="40"/>
              <w:rPr>
                <w:lang w:val="en-US"/>
              </w:rPr>
            </w:pPr>
            <w:r>
              <w:t>Non-parametric repeated-measures test</w:t>
            </w:r>
          </w:p>
        </w:tc>
      </w:tr>
      <w:tr w:rsidR="001F42BE" w14:paraId="53C5A7FC" w14:textId="77777777" w:rsidTr="007D5C98">
        <w:trPr>
          <w:trHeight w:val="826"/>
        </w:trPr>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5E9709E" w14:textId="4CFE0913" w:rsidR="001F42BE" w:rsidRDefault="00000000">
            <w:pPr>
              <w:spacing w:before="40" w:after="40"/>
            </w:pPr>
            <w:r>
              <w:t>H5:</w:t>
            </w:r>
            <w:r w:rsidR="007D5C98">
              <w:rPr>
                <w:rFonts w:hint="eastAsia"/>
              </w:rPr>
              <w:t xml:space="preserve"> </w:t>
            </w:r>
            <w:r w:rsidR="007D5C98">
              <w:rPr>
                <w:lang w:val="en-US"/>
              </w:rPr>
              <w:t>Perceived mitigation potential varies by region</w:t>
            </w:r>
            <w:r>
              <w:t xml:space="preserve"> </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792324B" w14:textId="7D3A0B9E" w:rsidR="001F42BE" w:rsidRDefault="007D5C98">
            <w:pPr>
              <w:spacing w:before="40" w:after="40"/>
            </w:pPr>
            <w:r>
              <w:t>Compared across region with n ≥ 30.</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A0395E" w14:textId="7F896A08" w:rsidR="001F42BE" w:rsidRDefault="007D5C98">
            <w:pPr>
              <w:spacing w:before="40" w:after="40"/>
            </w:pPr>
            <w:r>
              <w:t xml:space="preserve">Descriptive; inferential where cell size permits </w:t>
            </w:r>
          </w:p>
        </w:tc>
      </w:tr>
    </w:tbl>
    <w:p w14:paraId="416FF37C" w14:textId="77777777" w:rsidR="001F42BE" w:rsidRDefault="00000000">
      <w:pPr>
        <w:pStyle w:val="Heading1"/>
      </w:pPr>
      <w:r>
        <w:t>3. Conceptual Framework</w:t>
      </w:r>
    </w:p>
    <w:p w14:paraId="7EDCBB21" w14:textId="2B98CEDE" w:rsidR="001F42BE" w:rsidRPr="00537469" w:rsidRDefault="00000000">
      <w:pPr>
        <w:pStyle w:val="Heading2"/>
        <w:rPr>
          <w:rFonts w:ascii="Malgun Gothic" w:eastAsia="Malgun Gothic" w:hAnsi="Malgun Gothic" w:cs="Malgun Gothic"/>
          <w:lang w:val="en-US"/>
        </w:rPr>
      </w:pPr>
      <w:r>
        <w:t xml:space="preserve">3.1 </w:t>
      </w:r>
      <w:r w:rsidR="00537469">
        <w:rPr>
          <w:rFonts w:ascii="Malgun Gothic" w:eastAsia="Malgun Gothic" w:hAnsi="Malgun Gothic" w:cs="Malgun Gothic"/>
          <w:lang w:val="en-US"/>
        </w:rPr>
        <w:t xml:space="preserve">Standardization under foundation models </w:t>
      </w:r>
    </w:p>
    <w:p w14:paraId="08485816" w14:textId="039699BF" w:rsidR="002244B8" w:rsidRPr="002244B8" w:rsidRDefault="002244B8">
      <w:pPr>
        <w:spacing w:before="80" w:after="80" w:line="300" w:lineRule="auto"/>
        <w:jc w:val="both"/>
        <w:rPr>
          <w:lang w:val="en-US"/>
        </w:rPr>
      </w:pPr>
      <w:r>
        <w:rPr>
          <w:lang w:val="en-US"/>
        </w:rPr>
        <w:t xml:space="preserve">The primary construct is the tension surrounding data standardization in the foundation-model era. It is operationalized as seven Likert items capturing positions </w:t>
      </w:r>
      <w:r w:rsidR="00537469">
        <w:rPr>
          <w:lang w:val="en-US"/>
        </w:rPr>
        <w:t xml:space="preserve">on both sides of the question. Three express pro-standardization positions </w:t>
      </w:r>
      <w:r w:rsidR="00537469">
        <w:t>(continued necessity for semantic consistency, federation as a prerequisite for external validation, ontology-anchored hallucination control); three are reverse-scored, capturing the skeptical position (LLM displacement of structured ETL, tabular limits for multimodal data, a shifted cost-benefit ratio); one is integrative (standardization remains necessary but its forms must evolve). Item-level analysis avoids forcing the tension into a single dimension; respondents may hold mixed positions.</w:t>
      </w:r>
    </w:p>
    <w:p w14:paraId="338D0F4E" w14:textId="4A295BA9" w:rsidR="001F42BE" w:rsidRPr="006623C3" w:rsidRDefault="00537469" w:rsidP="006623C3">
      <w:pPr>
        <w:spacing w:before="80" w:after="80" w:line="300" w:lineRule="auto"/>
        <w:jc w:val="both"/>
        <w:rPr>
          <w:b/>
          <w:bCs/>
        </w:rPr>
      </w:pPr>
      <w:r>
        <w:t>The items were not derived from a pre-existing validated scale, as none exists for this emerging question. They were constructed to reflect (a) positions actively debated within the OHDSI community across working-group discussions and forums, and (b) arguments raised in the broader literature on foundation models and data standardization in healthcare. Face validity and clarity will be assessed in pilot testing (§4.5) before data collection, and item-level rather than composite reporting ensures that no item is assumed in advance to belong to a single construct.</w:t>
      </w:r>
    </w:p>
    <w:p w14:paraId="367A1D27" w14:textId="0E4F612C" w:rsidR="001F42BE" w:rsidRDefault="00000000">
      <w:pPr>
        <w:pStyle w:val="Heading2"/>
      </w:pPr>
      <w:r>
        <w:lastRenderedPageBreak/>
        <w:t>3.2</w:t>
      </w:r>
      <w:r w:rsidR="00537469">
        <w:t xml:space="preserve"> Medical-AI failure modes as a complementary lens </w:t>
      </w:r>
    </w:p>
    <w:p w14:paraId="29605C8A" w14:textId="74E99DF3" w:rsidR="001F42BE" w:rsidRDefault="00537469" w:rsidP="00537469">
      <w:pPr>
        <w:spacing w:before="80" w:after="80" w:line="300" w:lineRule="auto"/>
        <w:jc w:val="both"/>
      </w:pPr>
      <w:r>
        <w:t xml:space="preserve">As </w:t>
      </w:r>
      <w:r w:rsidR="00A85E9D">
        <w:t>a complementary lens, we examine how OHDSI infrastru</w:t>
      </w:r>
      <w:r w:rsidR="00E11161">
        <w:t>c</w:t>
      </w:r>
      <w:r w:rsidR="00A85E9D">
        <w:t xml:space="preserve">ture relates to documented failure modes of medical AI. We draw on the Müller et al. (2026) taxonomy and examine four of its seven failure modes — Blind Trust, Overinforming/False Forecasting, Misapplied Statistics, and Self-Referential Evaluation — selected because OHDSI infrastructure (data, methods, federation, reproducibility) has plausible mechanistic leverage over them. The remaining three (Overregulation, Dehumanization, Misaligned Optimization) concern policy, clinical relationship, or system-design domains outside OHDSI's direct scope and are excluded; the full taxonomy and selection rationale appear in Supplementary Table S1. </w:t>
      </w:r>
    </w:p>
    <w:p w14:paraId="1A006F94" w14:textId="460D4D82" w:rsidR="00A85E9D" w:rsidRDefault="00A85E9D" w:rsidP="00537469">
      <w:pPr>
        <w:spacing w:before="80" w:after="80" w:line="300" w:lineRule="auto"/>
        <w:jc w:val="both"/>
      </w:pPr>
      <w:r>
        <w:t>For each examined mode, a candidate OHDSI mitigation mechanism — federated external validation, reproducible open-source methodology, population-level effect-estimation methods, and the federated network as an external evaluation layer — is established in advance to ensure survey items do not retrospectively reflect the response pattern. These mechanisms are detailed in the survey instrument.</w:t>
      </w:r>
    </w:p>
    <w:p w14:paraId="4547CC7C" w14:textId="77777777" w:rsidR="001F42BE" w:rsidRDefault="00000000">
      <w:pPr>
        <w:pStyle w:val="Heading1"/>
      </w:pPr>
      <w:r>
        <w:t>4. Methods</w:t>
      </w:r>
    </w:p>
    <w:p w14:paraId="6E7C81F8" w14:textId="2E7466B0" w:rsidR="001F42BE" w:rsidRPr="00A85E9D" w:rsidRDefault="00000000">
      <w:pPr>
        <w:pStyle w:val="Heading2"/>
        <w:rPr>
          <w:rFonts w:ascii="Malgun Gothic" w:eastAsia="Malgun Gothic" w:hAnsi="Malgun Gothic" w:cs="Malgun Gothic"/>
          <w:lang w:val="en-US"/>
        </w:rPr>
      </w:pPr>
      <w:r>
        <w:t xml:space="preserve">4.1 </w:t>
      </w:r>
      <w:r w:rsidR="00A85E9D">
        <w:rPr>
          <w:rFonts w:ascii="Malgun Gothic" w:eastAsia="Malgun Gothic" w:hAnsi="Malgun Gothic" w:cs="Malgun Gothic"/>
          <w:lang w:val="en-US"/>
        </w:rPr>
        <w:t xml:space="preserve">Design and </w:t>
      </w:r>
      <w:r w:rsidR="0073659A">
        <w:rPr>
          <w:rFonts w:ascii="Malgun Gothic" w:eastAsia="Malgun Gothic" w:hAnsi="Malgun Gothic" w:cs="Malgun Gothic"/>
          <w:lang w:val="en-US"/>
        </w:rPr>
        <w:t>p</w:t>
      </w:r>
      <w:r w:rsidR="00A85E9D">
        <w:rPr>
          <w:rFonts w:ascii="Malgun Gothic" w:eastAsia="Malgun Gothic" w:hAnsi="Malgun Gothic" w:cs="Malgun Gothic"/>
          <w:lang w:val="en-US"/>
        </w:rPr>
        <w:t>opulation</w:t>
      </w:r>
    </w:p>
    <w:p w14:paraId="3992E787" w14:textId="11DB89FF" w:rsidR="001F42BE" w:rsidRDefault="00A85E9D">
      <w:pPr>
        <w:spacing w:before="80" w:after="80" w:line="300" w:lineRule="auto"/>
        <w:jc w:val="both"/>
      </w:pPr>
      <w:r>
        <w:t xml:space="preserve">This is a cross-sectional online survey of the OHDSI community, with the instrument finalized and version-controlled before data collection. Eligible respondents are individuals self-identifying as active or recent OHDSI collaborators. Individuals with no healthcare or technology background are excluded. </w:t>
      </w:r>
      <w:r w:rsidR="00E11161" w:rsidRPr="00E11161">
        <w:t>Responses</w:t>
      </w:r>
      <w:r w:rsidR="0073659A">
        <w:t xml:space="preserve"> are included if they complete at least 70% of items (including all Section</w:t>
      </w:r>
      <w:r w:rsidR="00E11161">
        <w:t>s</w:t>
      </w:r>
      <w:r w:rsidR="0073659A">
        <w:t xml:space="preserve"> C and D) and consent to anonymized aggregate use</w:t>
      </w:r>
      <w:r>
        <w:t>.</w:t>
      </w:r>
    </w:p>
    <w:p w14:paraId="2722E198" w14:textId="29AA4940" w:rsidR="00FA35C4" w:rsidRDefault="00FA35C4">
      <w:pPr>
        <w:pStyle w:val="Heading2"/>
      </w:pPr>
      <w:r>
        <w:t>4.2 Sample size and recruitment</w:t>
      </w:r>
    </w:p>
    <w:p w14:paraId="2987C535" w14:textId="24232BF0" w:rsidR="00FA35C4" w:rsidRPr="00FA35C4" w:rsidRDefault="00FA35C4" w:rsidP="00FA35C4">
      <w:pPr>
        <w:spacing w:before="80" w:after="80" w:line="300" w:lineRule="auto"/>
        <w:jc w:val="both"/>
      </w:pPr>
      <w:r w:rsidRPr="00FA35C4">
        <w:t>We target N = 300 complete responses (minimum analyzable N = 200), a range consistent with prior community-wide OHDSI surveys and sufficient to characterize subgroup patterns by AI-integration level (Q5) and region (Q1). For regional comparisons, a minimum cell size of n ≥ 30 is required before any inferential comparison; smaller regions are reported descriptively.</w:t>
      </w:r>
    </w:p>
    <w:p w14:paraId="53C8F730" w14:textId="233155A3" w:rsidR="001F42BE" w:rsidRPr="00FA35C4" w:rsidRDefault="00000000">
      <w:pPr>
        <w:pStyle w:val="Heading2"/>
        <w:rPr>
          <w:rFonts w:ascii="Malgun Gothic" w:eastAsia="Malgun Gothic" w:hAnsi="Malgun Gothic" w:cs="Malgun Gothic"/>
          <w:lang w:val="en-US"/>
        </w:rPr>
      </w:pPr>
      <w:r>
        <w:t>4.</w:t>
      </w:r>
      <w:r w:rsidR="00FA35C4">
        <w:t>3</w:t>
      </w:r>
      <w:r>
        <w:t xml:space="preserve"> </w:t>
      </w:r>
      <w:r w:rsidR="00FA35C4">
        <w:rPr>
          <w:rFonts w:ascii="Malgun Gothic" w:eastAsia="Malgun Gothic" w:hAnsi="Malgun Gothic" w:cs="Malgun Gothic"/>
          <w:lang w:val="en-US"/>
        </w:rPr>
        <w:t>Instrument and measure</w:t>
      </w:r>
      <w:r w:rsidR="00E11161">
        <w:rPr>
          <w:rFonts w:ascii="Malgun Gothic" w:eastAsia="Malgun Gothic" w:hAnsi="Malgun Gothic" w:cs="Malgun Gothic"/>
          <w:lang w:val="en-US"/>
        </w:rPr>
        <w:t>s</w:t>
      </w:r>
    </w:p>
    <w:p w14:paraId="5FBFE1C6" w14:textId="063B5D2B" w:rsidR="001F42BE" w:rsidRDefault="0073659A">
      <w:pPr>
        <w:spacing w:before="80" w:after="80" w:line="300" w:lineRule="auto"/>
        <w:jc w:val="both"/>
      </w:pPr>
      <w:r>
        <w:t xml:space="preserve">The instrument operationalizes the research questions across demographics, context, current AI/ML engagement, the standardization-tension battery (Section C; primary), OHDSI mitigation potential for four failure modes (Section D; complementary), and future-role and priority items (Sections E–F). All Likert items use a five-point scale. Primary outcomes are the response distributions for each Section C item and the severity and mitigation scores for each of the four failure modes; secondary outcomes include the 5-year investment priority (C-2), the ranked positioning of the four modes (D-5), the hoped-for future role (E-1), and the top-priority community action (F-4). Stratification variables are AI-integration level (Q5), </w:t>
      </w:r>
      <w:r>
        <w:lastRenderedPageBreak/>
        <w:t>region (Q1), role (Q3), institution type (Q0d), tenure (Q0c), and AI familiarity (Q0b). Attention checks include reverse-scored items and response-time logging. The instrument will be piloted with 8–12 community members spanning region, role, and integration level; pilot data are excluded from primary analysis and any post-pilot changes are logged.</w:t>
      </w:r>
    </w:p>
    <w:p w14:paraId="02BF8D68" w14:textId="3EF3556D" w:rsidR="001F42BE" w:rsidRDefault="00000000">
      <w:pPr>
        <w:pStyle w:val="Heading2"/>
      </w:pPr>
      <w:r>
        <w:t>4.</w:t>
      </w:r>
      <w:r w:rsidR="00E11161">
        <w:rPr>
          <w:rFonts w:hint="eastAsia"/>
        </w:rPr>
        <w:t>4</w:t>
      </w:r>
      <w:r>
        <w:t xml:space="preserve"> </w:t>
      </w:r>
      <w:r w:rsidR="00FA35C4">
        <w:t>Analysis</w:t>
      </w:r>
    </w:p>
    <w:p w14:paraId="6D5EAA65" w14:textId="2D5FF414" w:rsidR="001F42BE" w:rsidRPr="00141D9D" w:rsidRDefault="00FA35C4">
      <w:pPr>
        <w:spacing w:before="80" w:after="80" w:line="300" w:lineRule="auto"/>
        <w:jc w:val="both"/>
        <w:rPr>
          <w:lang w:val="en-US"/>
        </w:rPr>
      </w:pPr>
      <w:r>
        <w:t xml:space="preserve">Analyses are primarily descriptive: response distributions, means, and proportions are reported for all items, with particular attention to within-community divergence — the spread of responses, not only central tendency. Pre-specified subgroup comparisons (by AI-integration level and region) use standard non-parametric tests where cell sizes permit (n ≥ 30); given the modest number of comparisons, we report effect sizes and confidence intervals rather than relying on multiplicity correction. The survey is hosted on </w:t>
      </w:r>
      <w:r w:rsidR="00E11161" w:rsidRPr="00E11161">
        <w:t>Google Forms with a share</w:t>
      </w:r>
      <w:r>
        <w:t xml:space="preserve">able link. </w:t>
      </w:r>
    </w:p>
    <w:p w14:paraId="0887BE9E" w14:textId="77777777" w:rsidR="001F42BE" w:rsidRDefault="00000000">
      <w:pPr>
        <w:pStyle w:val="Heading1"/>
      </w:pPr>
      <w:r>
        <w:t>5. Ethical Considerations</w:t>
      </w:r>
    </w:p>
    <w:p w14:paraId="0B9BD8BD" w14:textId="7C87B3B5" w:rsidR="001F42BE" w:rsidRDefault="00204AF1">
      <w:pPr>
        <w:spacing w:before="80" w:after="80" w:line="300" w:lineRule="auto"/>
        <w:jc w:val="both"/>
      </w:pPr>
      <w:r>
        <w:t xml:space="preserve">This anonymous survey </w:t>
      </w:r>
      <w:r w:rsidR="00E11161" w:rsidRPr="00E11161">
        <w:t>will collect professional opinions only. Participation is voluntary and based on informed consent, and no personally identifiable information will be</w:t>
      </w:r>
      <w:r>
        <w:t xml:space="preserve"> gathered.</w:t>
      </w:r>
    </w:p>
    <w:p w14:paraId="74D67631" w14:textId="77777777" w:rsidR="001F42BE" w:rsidRDefault="00000000">
      <w:pPr>
        <w:pStyle w:val="Heading1"/>
      </w:pPr>
      <w:r>
        <w:t>6. Pre-Specified Limitations</w:t>
      </w:r>
    </w:p>
    <w:p w14:paraId="62812418" w14:textId="77777777" w:rsidR="001F42BE" w:rsidRDefault="00000000">
      <w:pPr>
        <w:spacing w:before="80" w:after="80" w:line="300" w:lineRule="auto"/>
        <w:jc w:val="both"/>
      </w:pPr>
      <w:r>
        <w:t>We acknowledge the following limitations in advance, to constrain post hoc reinterpretation.</w:t>
      </w:r>
    </w:p>
    <w:p w14:paraId="0F5294F3" w14:textId="77777777" w:rsidR="001F42BE" w:rsidRDefault="00000000" w:rsidP="00141D9D">
      <w:pPr>
        <w:pStyle w:val="ListParagraph"/>
        <w:numPr>
          <w:ilvl w:val="0"/>
          <w:numId w:val="5"/>
        </w:numPr>
        <w:spacing w:before="40" w:after="40" w:line="300" w:lineRule="auto"/>
      </w:pPr>
      <w:r>
        <w:t>Selection bias toward standardization: the sample is drawn from a community whose foundational commitment is to data standardization. Aggregate endorsement of pro-standardization items therefore cannot be interpreted as independent evidence for the value of standardization. The analytic interest is in within-community variation, not aggregate level.</w:t>
      </w:r>
    </w:p>
    <w:p w14:paraId="6E28D4CA" w14:textId="4B1FABF3" w:rsidR="001F42BE" w:rsidRDefault="00141D9D" w:rsidP="00141D9D">
      <w:pPr>
        <w:pStyle w:val="ListParagraph"/>
        <w:numPr>
          <w:ilvl w:val="0"/>
          <w:numId w:val="5"/>
        </w:numPr>
        <w:spacing w:before="40" w:after="40" w:line="300" w:lineRule="auto"/>
      </w:pPr>
      <w:r>
        <w:rPr>
          <w:lang w:val="en-US"/>
        </w:rPr>
        <w:t xml:space="preserve">Bounded use of an external taxonomy: </w:t>
      </w:r>
      <w:r w:rsidR="00874749">
        <w:rPr>
          <w:lang w:val="en-US"/>
        </w:rPr>
        <w:t xml:space="preserve">we examine four of the seven failure modes </w:t>
      </w:r>
      <w:r w:rsidR="00E11161" w:rsidRPr="00E11161">
        <w:t xml:space="preserve">in </w:t>
      </w:r>
      <w:r w:rsidR="00874749">
        <w:t>Müller et al.'s framework, selected for their relevance to OHDSI's structural scope. Findings do not generalize to the excluded three, and the adopted taxonomy may not capture OHDSI-specific failure modes; open-text fields partially mitigate the latter.</w:t>
      </w:r>
    </w:p>
    <w:p w14:paraId="3102BB67" w14:textId="77777777" w:rsidR="001F42BE" w:rsidRDefault="00000000" w:rsidP="00141D9D">
      <w:pPr>
        <w:pStyle w:val="ListParagraph"/>
        <w:numPr>
          <w:ilvl w:val="0"/>
          <w:numId w:val="5"/>
        </w:numPr>
        <w:spacing w:before="40" w:after="40" w:line="300" w:lineRule="auto"/>
      </w:pPr>
      <w:r>
        <w:t>Cross-sectional design: attitudes toward AI and standardization are likely evolving rapidly; a single time point captures one moment in a moving landscape.</w:t>
      </w:r>
    </w:p>
    <w:p w14:paraId="50DC1929" w14:textId="77777777" w:rsidR="001F42BE" w:rsidRDefault="00000000" w:rsidP="00141D9D">
      <w:pPr>
        <w:pStyle w:val="ListParagraph"/>
        <w:numPr>
          <w:ilvl w:val="0"/>
          <w:numId w:val="5"/>
        </w:numPr>
        <w:spacing w:before="40" w:after="40" w:line="300" w:lineRule="auto"/>
      </w:pPr>
      <w:r>
        <w:t>Language: the instrument is administered in English. Non-Anglophone members of the community may be under-represented; this is a known limitation of community-wide OHDSI surveys.</w:t>
      </w:r>
    </w:p>
    <w:p w14:paraId="26BE2352" w14:textId="77777777" w:rsidR="001F42BE" w:rsidRDefault="00000000" w:rsidP="00141D9D">
      <w:pPr>
        <w:pStyle w:val="ListParagraph"/>
        <w:numPr>
          <w:ilvl w:val="0"/>
          <w:numId w:val="5"/>
        </w:numPr>
        <w:spacing w:before="40" w:after="40" w:line="300" w:lineRule="auto"/>
      </w:pPr>
      <w:r>
        <w:t>Self-report: all measures are self-reported attitudes, not behavior. Stated positions on standardization may not predict actual investment decisions or technical practice.</w:t>
      </w:r>
    </w:p>
    <w:p w14:paraId="75F3D5BB" w14:textId="45C3BC79" w:rsidR="001F42BE" w:rsidRDefault="006623C3">
      <w:pPr>
        <w:pStyle w:val="Heading1"/>
      </w:pPr>
      <w:r>
        <w:rPr>
          <w:rFonts w:hint="eastAsia"/>
        </w:rPr>
        <w:lastRenderedPageBreak/>
        <w:t>7</w:t>
      </w:r>
      <w:r>
        <w:t>. Registration and Versioning</w:t>
      </w:r>
    </w:p>
    <w:p w14:paraId="265B4FD6" w14:textId="4930262E" w:rsidR="001F42BE" w:rsidRDefault="00000000">
      <w:pPr>
        <w:spacing w:before="80" w:after="80" w:line="300" w:lineRule="auto"/>
        <w:jc w:val="both"/>
      </w:pPr>
      <w:r>
        <w:t xml:space="preserve">This protocol is deposited </w:t>
      </w:r>
      <w:r w:rsidR="00E11161" w:rsidRPr="00E11161">
        <w:t>on a GitH</w:t>
      </w:r>
      <w:r w:rsidR="00204AF1">
        <w:t xml:space="preserve">ub page </w:t>
      </w:r>
      <w:r>
        <w:t>before recruitment begins. Any substantive amendments to the protocol after deposition (e.g., changes to primary hypotheses, sin selection, or analytic strategy) will be logged with date and rationale in a versioned amendment record. Minor edits (typographical, formatting, clarification without changing meaning) will be tracked in a change log but do not require a new version number.</w:t>
      </w:r>
    </w:p>
    <w:p w14:paraId="1812839C" w14:textId="1A181B12" w:rsidR="001F42BE" w:rsidRDefault="006623C3">
      <w:pPr>
        <w:pStyle w:val="Heading1"/>
      </w:pPr>
      <w:r>
        <w:rPr>
          <w:rFonts w:hint="eastAsia"/>
        </w:rPr>
        <w:t>8</w:t>
      </w:r>
      <w:r>
        <w:t>. Author Contributions and Conflicts of Interest</w:t>
      </w:r>
    </w:p>
    <w:p w14:paraId="22AD283A" w14:textId="77777777" w:rsidR="001F42BE" w:rsidRDefault="00000000">
      <w:pPr>
        <w:pStyle w:val="Heading1"/>
      </w:pPr>
      <w:r>
        <w:t>References</w:t>
      </w:r>
    </w:p>
    <w:p w14:paraId="67ECF383" w14:textId="77777777" w:rsidR="001F42BE" w:rsidRDefault="00000000">
      <w:pPr>
        <w:spacing w:before="80" w:after="80" w:line="300" w:lineRule="auto"/>
        <w:jc w:val="both"/>
      </w:pPr>
      <w:r>
        <w:t>Müller H, Patel VL, Shortliffe EH, Jurisica I, Holzinger A. Seven deadly sins in artificial intelligence for digital medicine. npj Digital Medicine. 2026. doi:10.1038/s41746-026-02607-4 (Article in Press).</w:t>
      </w:r>
    </w:p>
    <w:p w14:paraId="0846DC82" w14:textId="77777777" w:rsidR="001F42BE" w:rsidRDefault="00000000">
      <w:pPr>
        <w:spacing w:before="80" w:after="80" w:line="300" w:lineRule="auto"/>
        <w:jc w:val="both"/>
      </w:pPr>
      <w:r>
        <w:t>Ryan P. OHDSI 2025 Year in Review. OHDSI Global Symposium, 2025.</w:t>
      </w:r>
    </w:p>
    <w:p w14:paraId="21861AA1" w14:textId="77777777" w:rsidR="001F42BE" w:rsidRDefault="00000000">
      <w:pPr>
        <w:spacing w:before="80" w:after="80" w:line="300" w:lineRule="auto"/>
        <w:jc w:val="both"/>
      </w:pPr>
      <w:r>
        <w:t>Hripcsak G, et al. Observational Health Data Sciences and Informatics (OHDSI): Opportunities for observational researchers. Stud Health Technol Inform. 2015;216:574–578.</w:t>
      </w:r>
    </w:p>
    <w:p w14:paraId="30B85D31" w14:textId="77777777" w:rsidR="001F42BE" w:rsidRDefault="00000000">
      <w:pPr>
        <w:spacing w:before="80" w:after="80" w:line="300" w:lineRule="auto"/>
        <w:jc w:val="both"/>
      </w:pPr>
      <w:r>
        <w:t>Schuemie MJ, Ryan PB, Pratt N, et al. Principles of Large-scale Evidence Generation and Evaluation across a Network of Databases (LEGEND). J Am Med Inform Assoc. 2020;27(8):1331–1337.</w:t>
      </w:r>
    </w:p>
    <w:p w14:paraId="69FEF291" w14:textId="77777777" w:rsidR="00537469" w:rsidRDefault="00537469">
      <w:pPr>
        <w:spacing w:before="80" w:after="80" w:line="300" w:lineRule="auto"/>
        <w:jc w:val="both"/>
      </w:pPr>
    </w:p>
    <w:p w14:paraId="02CE7894" w14:textId="2DC43E71" w:rsidR="00537469" w:rsidRPr="00537469" w:rsidRDefault="00537469">
      <w:pPr>
        <w:spacing w:before="80" w:after="80" w:line="300" w:lineRule="auto"/>
        <w:jc w:val="both"/>
        <w:rPr>
          <w:b/>
          <w:bCs/>
        </w:rPr>
      </w:pPr>
      <w:r w:rsidRPr="00537469">
        <w:rPr>
          <w:b/>
          <w:bCs/>
        </w:rPr>
        <w:t>Supplementary Table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38"/>
        <w:gridCol w:w="3118"/>
        <w:gridCol w:w="1852"/>
      </w:tblGrid>
      <w:tr w:rsidR="00537469" w14:paraId="6AB72B4D" w14:textId="77777777" w:rsidTr="00BB270B">
        <w:trPr>
          <w:tblHeader/>
        </w:trPr>
        <w:tc>
          <w:tcPr>
            <w:tcW w:w="17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32D8301E" w14:textId="77777777" w:rsidR="00537469" w:rsidRDefault="00537469" w:rsidP="001B21DF">
            <w:pPr>
              <w:spacing w:before="40" w:after="40"/>
            </w:pPr>
            <w:r>
              <w:rPr>
                <w:b/>
                <w:bCs/>
              </w:rPr>
              <w:t>Sin</w:t>
            </w:r>
          </w:p>
        </w:tc>
        <w:tc>
          <w:tcPr>
            <w:tcW w:w="263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2ABAC046" w14:textId="77777777" w:rsidR="00537469" w:rsidRDefault="00537469" w:rsidP="001B21DF">
            <w:pPr>
              <w:spacing w:before="40" w:after="40"/>
              <w:rPr>
                <w:b/>
                <w:bCs/>
              </w:rPr>
            </w:pPr>
            <w:r>
              <w:rPr>
                <w:b/>
                <w:bCs/>
              </w:rPr>
              <w:t xml:space="preserve">Description </w:t>
            </w:r>
          </w:p>
          <w:p w14:paraId="596EFAF2" w14:textId="77777777" w:rsidR="00537469" w:rsidRPr="00537469" w:rsidRDefault="00537469" w:rsidP="001B21DF">
            <w:pPr>
              <w:spacing w:before="40" w:after="40"/>
              <w:rPr>
                <w:b/>
                <w:bCs/>
              </w:rPr>
            </w:pPr>
            <w:r>
              <w:rPr>
                <w:b/>
                <w:bCs/>
              </w:rPr>
              <w:t>(Müller et al.)</w:t>
            </w:r>
          </w:p>
        </w:tc>
        <w:tc>
          <w:tcPr>
            <w:tcW w:w="311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119DF4A0" w14:textId="77777777" w:rsidR="00537469" w:rsidRDefault="00537469" w:rsidP="001B21DF">
            <w:pPr>
              <w:spacing w:before="40" w:after="40"/>
            </w:pPr>
            <w:r>
              <w:rPr>
                <w:b/>
                <w:bCs/>
              </w:rPr>
              <w:t>OHDSI relevance</w:t>
            </w:r>
          </w:p>
        </w:tc>
        <w:tc>
          <w:tcPr>
            <w:tcW w:w="18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3BE6860" w14:textId="77777777" w:rsidR="00537469" w:rsidRDefault="00537469" w:rsidP="001B21DF">
            <w:pPr>
              <w:spacing w:before="40" w:after="40"/>
            </w:pPr>
            <w:r>
              <w:rPr>
                <w:b/>
                <w:bCs/>
              </w:rPr>
              <w:t>Included in study</w:t>
            </w:r>
          </w:p>
        </w:tc>
      </w:tr>
      <w:tr w:rsidR="00537469" w14:paraId="615C4F3D"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050F8E" w14:textId="77777777" w:rsidR="00537469" w:rsidRDefault="00537469" w:rsidP="001B21DF">
            <w:pPr>
              <w:spacing w:before="40" w:after="40"/>
            </w:pPr>
            <w:r>
              <w:t>1. Blind Trust</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326140" w14:textId="77777777" w:rsidR="00537469" w:rsidRDefault="00537469" w:rsidP="001B21DF">
            <w:pPr>
              <w:spacing w:before="40" w:after="40"/>
            </w:pPr>
            <w:r>
              <w:t>Over-reliance on AI without proper validation, context, or clinical oversight.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C9A39A" w14:textId="77777777" w:rsidR="00537469" w:rsidRDefault="00537469" w:rsidP="001B21DF">
            <w:pPr>
              <w:spacing w:before="40" w:after="40"/>
            </w:pPr>
            <w:r>
              <w:t>High — LEGEND-style replication and federated external validation directly address this.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960C22" w14:textId="77777777" w:rsidR="00537469" w:rsidRDefault="00537469" w:rsidP="001B21DF">
            <w:pPr>
              <w:spacing w:before="40" w:after="40"/>
            </w:pPr>
            <w:r>
              <w:t>Included</w:t>
            </w:r>
          </w:p>
        </w:tc>
      </w:tr>
      <w:tr w:rsidR="00537469" w14:paraId="4B42B48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58C921" w14:textId="77777777" w:rsidR="00537469" w:rsidRDefault="00537469" w:rsidP="001B21DF">
            <w:pPr>
              <w:spacing w:before="40" w:after="40"/>
            </w:pPr>
            <w:r>
              <w:t>2. Overregulation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28B507" w14:textId="77777777" w:rsidR="00537469" w:rsidRDefault="00537469" w:rsidP="001B21DF">
            <w:pPr>
              <w:spacing w:before="40" w:after="40"/>
            </w:pPr>
            <w:r>
              <w:t>Excessive or misdirected regulation suppressing innovation.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B5B6AB" w14:textId="77777777" w:rsidR="00537469" w:rsidRDefault="00537469" w:rsidP="001B21DF">
            <w:pPr>
              <w:spacing w:before="40" w:after="40"/>
            </w:pPr>
            <w:r>
              <w:t>Indirect — OHDSI enables risk-stratified evidence generation but does not set policy.</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C2D91E5" w14:textId="77777777" w:rsidR="00537469" w:rsidRDefault="00537469" w:rsidP="001B21DF">
            <w:pPr>
              <w:spacing w:before="40" w:after="40"/>
            </w:pPr>
            <w:r>
              <w:t>Not included (low direct leverage)</w:t>
            </w:r>
          </w:p>
        </w:tc>
      </w:tr>
      <w:tr w:rsidR="00537469" w14:paraId="70FBF2C1"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13F9E1" w14:textId="77777777" w:rsidR="00537469" w:rsidRDefault="00537469" w:rsidP="001B21DF">
            <w:pPr>
              <w:spacing w:before="40" w:after="40"/>
            </w:pPr>
            <w:r>
              <w:t>3. Dehumanization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6602FA" w14:textId="77777777" w:rsidR="00537469" w:rsidRDefault="00537469" w:rsidP="001B21DF">
            <w:pPr>
              <w:spacing w:before="40" w:after="40"/>
            </w:pPr>
            <w:r>
              <w:t>Erosion of relational and empathetic aspects of care.</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8D33A5" w14:textId="77777777" w:rsidR="00537469" w:rsidRDefault="00537469" w:rsidP="001B21DF">
            <w:pPr>
              <w:spacing w:before="40" w:after="40"/>
            </w:pPr>
            <w:r>
              <w:t>Low — pertains to clinician-patient interaction, outside OHDSI's data infrastructure scope.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032052" w14:textId="77777777" w:rsidR="00537469" w:rsidRDefault="00537469" w:rsidP="001B21DF">
            <w:pPr>
              <w:spacing w:before="40" w:after="40"/>
            </w:pPr>
            <w:r>
              <w:t>Not included</w:t>
            </w:r>
          </w:p>
        </w:tc>
      </w:tr>
      <w:tr w:rsidR="00537469" w14:paraId="19170169"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C9CD7D1" w14:textId="77777777" w:rsidR="00537469" w:rsidRDefault="00537469" w:rsidP="001B21DF">
            <w:pPr>
              <w:spacing w:before="40" w:after="40"/>
            </w:pPr>
            <w:r>
              <w:lastRenderedPageBreak/>
              <w:t>4. Misaligned Optimization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8103095" w14:textId="77777777" w:rsidR="00537469" w:rsidRDefault="00537469" w:rsidP="001B21DF">
            <w:pPr>
              <w:spacing w:before="40" w:after="40"/>
            </w:pPr>
            <w:r>
              <w:t>Single-objective optimization conflicting with medicine's multi-objective reality.</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24C528" w14:textId="77777777" w:rsidR="00537469" w:rsidRDefault="00537469" w:rsidP="001B21DF">
            <w:pPr>
              <w:spacing w:before="40" w:after="40"/>
            </w:pPr>
            <w:r>
              <w:t>Moderate — OMOP enables multi-outcome evaluation but does not constrain proxy choice.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DAC6121" w14:textId="77777777" w:rsidR="00537469" w:rsidRDefault="00537469" w:rsidP="001B21DF">
            <w:pPr>
              <w:spacing w:before="40" w:after="40"/>
            </w:pPr>
            <w:r>
              <w:t>Not included (indirect leverage)</w:t>
            </w:r>
          </w:p>
        </w:tc>
      </w:tr>
      <w:tr w:rsidR="00537469" w14:paraId="56B6F188"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9DEB7E" w14:textId="77777777" w:rsidR="00537469" w:rsidRDefault="00537469" w:rsidP="001B21DF">
            <w:pPr>
              <w:spacing w:before="40" w:after="40"/>
            </w:pPr>
            <w:r>
              <w:t>5. Overinforming / False Forecasting</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F600C27" w14:textId="77777777" w:rsidR="00537469" w:rsidRDefault="00537469" w:rsidP="001B21DF">
            <w:pPr>
              <w:spacing w:before="40" w:after="40"/>
            </w:pPr>
            <w:r>
              <w:t>Excessive or speculative AI output creating false sense of precision.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BF03AB" w14:textId="77777777" w:rsidR="00537469" w:rsidRDefault="00537469" w:rsidP="001B21DF">
            <w:pPr>
              <w:spacing w:before="40" w:after="40"/>
            </w:pPr>
            <w:r>
              <w:t>High — reproducibility culture and open phenotype/protocol/code disciplines forecast claims.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FC863F" w14:textId="77777777" w:rsidR="00537469" w:rsidRDefault="00537469" w:rsidP="001B21DF">
            <w:pPr>
              <w:spacing w:before="40" w:after="40"/>
            </w:pPr>
            <w:r>
              <w:t>Included</w:t>
            </w:r>
          </w:p>
        </w:tc>
      </w:tr>
      <w:tr w:rsidR="00537469" w14:paraId="257BBA4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35CD5A8" w14:textId="77777777" w:rsidR="00537469" w:rsidRDefault="00537469" w:rsidP="001B21DF">
            <w:pPr>
              <w:spacing w:before="40" w:after="40"/>
            </w:pPr>
            <w:r>
              <w:t>6. Misapplied Statistics</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7D7368" w14:textId="77777777" w:rsidR="00537469" w:rsidRDefault="00537469" w:rsidP="001B21DF">
            <w:pPr>
              <w:spacing w:before="40" w:after="40"/>
            </w:pPr>
            <w:r>
              <w:t>Population-level predictions misapplied to individuals.</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6C153C4" w14:textId="77777777" w:rsidR="00537469" w:rsidRDefault="00537469" w:rsidP="001B21DF">
            <w:pPr>
              <w:spacing w:before="40" w:after="40"/>
            </w:pPr>
            <w:r>
              <w:t>High — OHDSI methodology (PS matching, negative controls, empirical calibration) is the natural mitigation.</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B77120" w14:textId="77777777" w:rsidR="00537469" w:rsidRDefault="00537469" w:rsidP="001B21DF">
            <w:pPr>
              <w:spacing w:before="40" w:after="40"/>
            </w:pPr>
            <w:r>
              <w:t>Included</w:t>
            </w:r>
          </w:p>
        </w:tc>
      </w:tr>
      <w:tr w:rsidR="00537469" w14:paraId="5BFD96CF"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6A54388" w14:textId="77777777" w:rsidR="00537469" w:rsidRDefault="00537469" w:rsidP="001B21DF">
            <w:pPr>
              <w:spacing w:before="40" w:after="40"/>
            </w:pPr>
            <w:r>
              <w:t>7. Self-Referential Evaluation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1C6BCE" w14:textId="77777777" w:rsidR="00537469" w:rsidRDefault="00537469" w:rsidP="001B21DF">
            <w:pPr>
              <w:spacing w:before="40" w:after="40"/>
            </w:pPr>
            <w:r>
              <w:t>AI assessed only on internal metrics without external audit.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60AEE8" w14:textId="77777777" w:rsidR="00537469" w:rsidRDefault="00537469" w:rsidP="001B21DF">
            <w:pPr>
              <w:spacing w:before="40" w:after="40"/>
            </w:pPr>
            <w:r>
              <w:t>Very high — the federated network is structurally an external evaluation mechanism.</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622B16D" w14:textId="77777777" w:rsidR="00537469" w:rsidRDefault="00537469" w:rsidP="001B21DF">
            <w:pPr>
              <w:spacing w:before="40" w:after="40"/>
            </w:pPr>
            <w:r>
              <w:t>Included</w:t>
            </w:r>
          </w:p>
        </w:tc>
      </w:tr>
    </w:tbl>
    <w:p w14:paraId="1BD41938" w14:textId="77777777" w:rsidR="00537469" w:rsidRDefault="00537469">
      <w:pPr>
        <w:spacing w:before="80" w:after="80" w:line="300" w:lineRule="auto"/>
        <w:jc w:val="both"/>
      </w:pPr>
    </w:p>
    <w:sectPr w:rsidR="0053746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B50C" w14:textId="77777777" w:rsidR="003806AD" w:rsidRDefault="003806AD" w:rsidP="006623C3">
      <w:r>
        <w:separator/>
      </w:r>
    </w:p>
  </w:endnote>
  <w:endnote w:type="continuationSeparator" w:id="0">
    <w:p w14:paraId="75505953" w14:textId="77777777" w:rsidR="003806AD" w:rsidRDefault="003806AD" w:rsidP="0066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A8E24" w14:textId="77777777" w:rsidR="00E11161" w:rsidRDefault="00E11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AB86" w14:textId="77777777" w:rsidR="006623C3" w:rsidRDefault="00662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BEB3" w14:textId="77777777" w:rsidR="00E11161" w:rsidRDefault="00E11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A30D" w14:textId="77777777" w:rsidR="003806AD" w:rsidRDefault="003806AD" w:rsidP="006623C3">
      <w:r>
        <w:separator/>
      </w:r>
    </w:p>
  </w:footnote>
  <w:footnote w:type="continuationSeparator" w:id="0">
    <w:p w14:paraId="68F660EF" w14:textId="77777777" w:rsidR="003806AD" w:rsidRDefault="003806AD" w:rsidP="0066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9146" w14:textId="77777777" w:rsidR="00E11161" w:rsidRDefault="00E11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9821" w14:textId="0C4FD1FC" w:rsidR="006623C3" w:rsidRPr="006623C3" w:rsidRDefault="006623C3" w:rsidP="006623C3">
    <w:pPr>
      <w:spacing w:after="240"/>
      <w:rPr>
        <w:i/>
        <w:iCs/>
        <w:color w:val="595959"/>
        <w:sz w:val="15"/>
        <w:szCs w:val="15"/>
      </w:rPr>
    </w:pPr>
    <w:r w:rsidRPr="006623C3">
      <w:rPr>
        <w:i/>
        <w:iCs/>
        <w:color w:val="595959"/>
        <w:sz w:val="15"/>
        <w:szCs w:val="15"/>
      </w:rPr>
      <w:t>Version 1.0 — Pre-Registration Draft</w:t>
    </w:r>
  </w:p>
  <w:p w14:paraId="0F3BF0E6" w14:textId="3DEB70B6" w:rsidR="006623C3" w:rsidRDefault="006623C3">
    <w:pPr>
      <w:pStyle w:val="Header"/>
    </w:pPr>
  </w:p>
  <w:p w14:paraId="7A8B2251" w14:textId="77777777" w:rsidR="006623C3" w:rsidRDefault="00662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8B7D" w14:textId="77777777" w:rsidR="00E11161" w:rsidRDefault="00E11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428A"/>
    <w:multiLevelType w:val="hybridMultilevel"/>
    <w:tmpl w:val="F1EED64C"/>
    <w:lvl w:ilvl="0" w:tplc="9B16034A">
      <w:start w:val="1"/>
      <w:numFmt w:val="decimal"/>
      <w:lvlText w:val="%1."/>
      <w:lvlJc w:val="left"/>
      <w:pPr>
        <w:ind w:left="720" w:hanging="360"/>
      </w:pPr>
    </w:lvl>
    <w:lvl w:ilvl="1" w:tplc="7730E86A">
      <w:numFmt w:val="decimal"/>
      <w:lvlText w:val=""/>
      <w:lvlJc w:val="left"/>
    </w:lvl>
    <w:lvl w:ilvl="2" w:tplc="CD80231A">
      <w:numFmt w:val="decimal"/>
      <w:lvlText w:val=""/>
      <w:lvlJc w:val="left"/>
    </w:lvl>
    <w:lvl w:ilvl="3" w:tplc="02A6D644">
      <w:numFmt w:val="decimal"/>
      <w:lvlText w:val=""/>
      <w:lvlJc w:val="left"/>
    </w:lvl>
    <w:lvl w:ilvl="4" w:tplc="7D3E2CE6">
      <w:numFmt w:val="decimal"/>
      <w:lvlText w:val=""/>
      <w:lvlJc w:val="left"/>
    </w:lvl>
    <w:lvl w:ilvl="5" w:tplc="BD08559E">
      <w:numFmt w:val="decimal"/>
      <w:lvlText w:val=""/>
      <w:lvlJc w:val="left"/>
    </w:lvl>
    <w:lvl w:ilvl="6" w:tplc="EABEFCFE">
      <w:numFmt w:val="decimal"/>
      <w:lvlText w:val=""/>
      <w:lvlJc w:val="left"/>
    </w:lvl>
    <w:lvl w:ilvl="7" w:tplc="5B3C9AA6">
      <w:numFmt w:val="decimal"/>
      <w:lvlText w:val=""/>
      <w:lvlJc w:val="left"/>
    </w:lvl>
    <w:lvl w:ilvl="8" w:tplc="4DB2FC58">
      <w:numFmt w:val="decimal"/>
      <w:lvlText w:val=""/>
      <w:lvlJc w:val="left"/>
    </w:lvl>
  </w:abstractNum>
  <w:abstractNum w:abstractNumId="1" w15:restartNumberingAfterBreak="0">
    <w:nsid w:val="24CC5AE4"/>
    <w:multiLevelType w:val="hybridMultilevel"/>
    <w:tmpl w:val="43464260"/>
    <w:lvl w:ilvl="0" w:tplc="C9F40BEC">
      <w:start w:val="1"/>
      <w:numFmt w:val="bullet"/>
      <w:lvlText w:val="●"/>
      <w:lvlJc w:val="left"/>
      <w:pPr>
        <w:ind w:left="720" w:hanging="360"/>
      </w:pPr>
    </w:lvl>
    <w:lvl w:ilvl="1" w:tplc="ACEA3DD2">
      <w:start w:val="1"/>
      <w:numFmt w:val="bullet"/>
      <w:lvlText w:val="○"/>
      <w:lvlJc w:val="left"/>
      <w:pPr>
        <w:ind w:left="1440" w:hanging="360"/>
      </w:pPr>
    </w:lvl>
    <w:lvl w:ilvl="2" w:tplc="35C06F3A">
      <w:start w:val="1"/>
      <w:numFmt w:val="bullet"/>
      <w:lvlText w:val="■"/>
      <w:lvlJc w:val="left"/>
      <w:pPr>
        <w:ind w:left="2160" w:hanging="360"/>
      </w:pPr>
    </w:lvl>
    <w:lvl w:ilvl="3" w:tplc="A63255E2">
      <w:start w:val="1"/>
      <w:numFmt w:val="bullet"/>
      <w:lvlText w:val="●"/>
      <w:lvlJc w:val="left"/>
      <w:pPr>
        <w:ind w:left="2880" w:hanging="360"/>
      </w:pPr>
    </w:lvl>
    <w:lvl w:ilvl="4" w:tplc="26A634C6">
      <w:start w:val="1"/>
      <w:numFmt w:val="bullet"/>
      <w:lvlText w:val="○"/>
      <w:lvlJc w:val="left"/>
      <w:pPr>
        <w:ind w:left="3600" w:hanging="360"/>
      </w:pPr>
    </w:lvl>
    <w:lvl w:ilvl="5" w:tplc="114258DC">
      <w:start w:val="1"/>
      <w:numFmt w:val="bullet"/>
      <w:lvlText w:val="■"/>
      <w:lvlJc w:val="left"/>
      <w:pPr>
        <w:ind w:left="4320" w:hanging="360"/>
      </w:pPr>
    </w:lvl>
    <w:lvl w:ilvl="6" w:tplc="412CB8B2">
      <w:start w:val="1"/>
      <w:numFmt w:val="bullet"/>
      <w:lvlText w:val="●"/>
      <w:lvlJc w:val="left"/>
      <w:pPr>
        <w:ind w:left="5040" w:hanging="360"/>
      </w:pPr>
    </w:lvl>
    <w:lvl w:ilvl="7" w:tplc="3062A698">
      <w:start w:val="1"/>
      <w:numFmt w:val="bullet"/>
      <w:lvlText w:val="●"/>
      <w:lvlJc w:val="left"/>
      <w:pPr>
        <w:ind w:left="5760" w:hanging="360"/>
      </w:pPr>
    </w:lvl>
    <w:lvl w:ilvl="8" w:tplc="A61E754A">
      <w:start w:val="1"/>
      <w:numFmt w:val="bullet"/>
      <w:lvlText w:val="●"/>
      <w:lvlJc w:val="left"/>
      <w:pPr>
        <w:ind w:left="6480" w:hanging="360"/>
      </w:pPr>
    </w:lvl>
  </w:abstractNum>
  <w:abstractNum w:abstractNumId="2" w15:restartNumberingAfterBreak="0">
    <w:nsid w:val="362B5BCA"/>
    <w:multiLevelType w:val="hybridMultilevel"/>
    <w:tmpl w:val="A91C423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EB70B1"/>
    <w:multiLevelType w:val="hybridMultilevel"/>
    <w:tmpl w:val="FFFAE596"/>
    <w:lvl w:ilvl="0" w:tplc="6E9CF064">
      <w:start w:val="1"/>
      <w:numFmt w:val="bullet"/>
      <w:lvlText w:val="•"/>
      <w:lvlJc w:val="left"/>
      <w:pPr>
        <w:ind w:left="720" w:hanging="360"/>
      </w:pPr>
    </w:lvl>
    <w:lvl w:ilvl="1" w:tplc="CE567710">
      <w:numFmt w:val="decimal"/>
      <w:lvlText w:val=""/>
      <w:lvlJc w:val="left"/>
    </w:lvl>
    <w:lvl w:ilvl="2" w:tplc="FC4ED4B6">
      <w:numFmt w:val="decimal"/>
      <w:lvlText w:val=""/>
      <w:lvlJc w:val="left"/>
    </w:lvl>
    <w:lvl w:ilvl="3" w:tplc="C64CD3C6">
      <w:numFmt w:val="decimal"/>
      <w:lvlText w:val=""/>
      <w:lvlJc w:val="left"/>
    </w:lvl>
    <w:lvl w:ilvl="4" w:tplc="FA16ACA2">
      <w:numFmt w:val="decimal"/>
      <w:lvlText w:val=""/>
      <w:lvlJc w:val="left"/>
    </w:lvl>
    <w:lvl w:ilvl="5" w:tplc="584CD5D6">
      <w:numFmt w:val="decimal"/>
      <w:lvlText w:val=""/>
      <w:lvlJc w:val="left"/>
    </w:lvl>
    <w:lvl w:ilvl="6" w:tplc="0B4E12FC">
      <w:numFmt w:val="decimal"/>
      <w:lvlText w:val=""/>
      <w:lvlJc w:val="left"/>
    </w:lvl>
    <w:lvl w:ilvl="7" w:tplc="C65AF214">
      <w:numFmt w:val="decimal"/>
      <w:lvlText w:val=""/>
      <w:lvlJc w:val="left"/>
    </w:lvl>
    <w:lvl w:ilvl="8" w:tplc="87CC33BE">
      <w:numFmt w:val="decimal"/>
      <w:lvlText w:val=""/>
      <w:lvlJc w:val="left"/>
    </w:lvl>
  </w:abstractNum>
  <w:num w:numId="1" w16cid:durableId="641545184">
    <w:abstractNumId w:val="1"/>
    <w:lvlOverride w:ilvl="0">
      <w:startOverride w:val="1"/>
    </w:lvlOverride>
  </w:num>
  <w:num w:numId="2" w16cid:durableId="430900739">
    <w:abstractNumId w:val="0"/>
    <w:lvlOverride w:ilvl="0">
      <w:startOverride w:val="1"/>
    </w:lvlOverride>
  </w:num>
  <w:num w:numId="3" w16cid:durableId="737440761">
    <w:abstractNumId w:val="3"/>
    <w:lvlOverride w:ilvl="0">
      <w:startOverride w:val="1"/>
    </w:lvlOverride>
  </w:num>
  <w:num w:numId="4" w16cid:durableId="1901599350">
    <w:abstractNumId w:val="0"/>
  </w:num>
  <w:num w:numId="5" w16cid:durableId="74155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BE"/>
    <w:rsid w:val="00081AE4"/>
    <w:rsid w:val="00141D9D"/>
    <w:rsid w:val="001F42BE"/>
    <w:rsid w:val="00204AF1"/>
    <w:rsid w:val="002244B8"/>
    <w:rsid w:val="0029253E"/>
    <w:rsid w:val="00322943"/>
    <w:rsid w:val="003806AD"/>
    <w:rsid w:val="00456384"/>
    <w:rsid w:val="00537469"/>
    <w:rsid w:val="00542A72"/>
    <w:rsid w:val="006623C3"/>
    <w:rsid w:val="0073659A"/>
    <w:rsid w:val="007464B5"/>
    <w:rsid w:val="007D5C98"/>
    <w:rsid w:val="007F028C"/>
    <w:rsid w:val="00874749"/>
    <w:rsid w:val="00A83AF1"/>
    <w:rsid w:val="00A85E9D"/>
    <w:rsid w:val="00BB270B"/>
    <w:rsid w:val="00E11161"/>
    <w:rsid w:val="00FA35C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09ABC"/>
  <w15:docId w15:val="{785BFA54-B4D2-3B4B-B818-8AA8B3E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Calibri"/>
      <w:b/>
      <w:bCs/>
      <w:color w:val="1F4E79"/>
      <w:sz w:val="30"/>
      <w:szCs w:val="30"/>
    </w:rPr>
  </w:style>
  <w:style w:type="paragraph" w:styleId="Heading2">
    <w:name w:val="heading 2"/>
    <w:uiPriority w:val="9"/>
    <w:unhideWhenUsed/>
    <w:qFormat/>
    <w:pPr>
      <w:spacing w:before="240" w:after="120"/>
      <w:outlineLvl w:val="1"/>
    </w:pPr>
    <w:rPr>
      <w:rFonts w:eastAsia="Calibri"/>
      <w:b/>
      <w:bCs/>
      <w:color w:val="2E75B6"/>
      <w:sz w:val="26"/>
      <w:szCs w:val="26"/>
    </w:rPr>
  </w:style>
  <w:style w:type="paragraph" w:styleId="Heading3">
    <w:name w:val="heading 3"/>
    <w:uiPriority w:val="9"/>
    <w:unhideWhenUsed/>
    <w:qFormat/>
    <w:pPr>
      <w:spacing w:before="180" w:after="80"/>
      <w:outlineLvl w:val="2"/>
    </w:pPr>
    <w:rPr>
      <w:rFonts w:eastAsia="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83AF1"/>
    <w:rPr>
      <w:b/>
      <w:bCs/>
    </w:rPr>
  </w:style>
  <w:style w:type="character" w:styleId="Emphasis">
    <w:name w:val="Emphasis"/>
    <w:basedOn w:val="DefaultParagraphFont"/>
    <w:uiPriority w:val="20"/>
    <w:qFormat/>
    <w:rsid w:val="00A83AF1"/>
    <w:rPr>
      <w:i/>
      <w:iCs/>
    </w:rPr>
  </w:style>
  <w:style w:type="paragraph" w:customStyle="1" w:styleId="font-claude-response-body">
    <w:name w:val="font-claude-response-body"/>
    <w:basedOn w:val="Normal"/>
    <w:rsid w:val="00FA35C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23C3"/>
    <w:pPr>
      <w:tabs>
        <w:tab w:val="center" w:pos="4680"/>
        <w:tab w:val="right" w:pos="9360"/>
      </w:tabs>
    </w:pPr>
  </w:style>
  <w:style w:type="character" w:customStyle="1" w:styleId="HeaderChar">
    <w:name w:val="Header Char"/>
    <w:basedOn w:val="DefaultParagraphFont"/>
    <w:link w:val="Header"/>
    <w:uiPriority w:val="99"/>
    <w:rsid w:val="006623C3"/>
  </w:style>
  <w:style w:type="paragraph" w:styleId="Footer">
    <w:name w:val="footer"/>
    <w:basedOn w:val="Normal"/>
    <w:link w:val="FooterChar"/>
    <w:uiPriority w:val="99"/>
    <w:unhideWhenUsed/>
    <w:rsid w:val="006623C3"/>
    <w:pPr>
      <w:tabs>
        <w:tab w:val="center" w:pos="4680"/>
        <w:tab w:val="right" w:pos="9360"/>
      </w:tabs>
    </w:pPr>
  </w:style>
  <w:style w:type="character" w:customStyle="1" w:styleId="FooterChar">
    <w:name w:val="Footer Char"/>
    <w:basedOn w:val="DefaultParagraphFont"/>
    <w:link w:val="Footer"/>
    <w:uiPriority w:val="99"/>
    <w:rsid w:val="00662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6E427-5DCF-324D-8441-4B44390F2F44}">
  <we:reference id="WA200010453" version="1.0.0.1" store="Omex" storeType="OMEX"/>
  <we:alternateReferences>
    <we:reference id="WA200010453" version="1.0.0.1" store="WA200010453" storeType="OMEX"/>
  </we:alternateReferences>
  <we:properties>
    <we:property name="claude.fileId" value="&quot;66b91ef6-70c4-4da8-9f67-f6ab110b6d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2EA4-3498-AA46-BB84-BA1409A4F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2248</Words>
  <Characters>13198</Characters>
  <Application>Microsoft Office Word</Application>
  <DocSecurity>0</DocSecurity>
  <Lines>274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엄 지원</cp:lastModifiedBy>
  <cp:revision>9</cp:revision>
  <dcterms:created xsi:type="dcterms:W3CDTF">2026-05-28T01:43:00Z</dcterms:created>
  <dcterms:modified xsi:type="dcterms:W3CDTF">2026-05-29T04:27:00Z</dcterms:modified>
</cp:coreProperties>
</file>