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  <w:lang w:val="en-GB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Upgrade flowchart</w:t>
      </w:r>
      <w:r>
        <w:rPr>
          <w:highlight w:val="none"/>
          <w:lang w:val="en-GB"/>
        </w:rPr>
      </w:r>
      <w:r/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345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395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34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80.6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/>
      <w:r/>
      <w:r/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2024-12-05T01:28:41Z</dcterms:modified>
</cp:coreProperties>
</file>