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motMisc:</w:t>
      </w:r>
      <w:r>
        <w:t xml:space="preserve"> </w:t>
      </w:r>
      <w:r>
        <w:t xml:space="preserve">Análisis</w:t>
      </w:r>
      <w:r>
        <w:t xml:space="preserve"> </w:t>
      </w:r>
      <w:r>
        <w:t xml:space="preserve">Exploratorio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Relación</w:t>
      </w:r>
      <w:r>
        <w:t xml:space="preserve"> </w:t>
      </w:r>
      <w:r>
        <w:t xml:space="preserve">que</w:t>
      </w:r>
      <w:r>
        <w:t xml:space="preserve"> </w:t>
      </w:r>
      <w:r>
        <w:t xml:space="preserve">se</w:t>
      </w:r>
      <w:r>
        <w:t xml:space="preserve"> </w:t>
      </w:r>
      <w:r>
        <w:t xml:space="preserve">establece</w:t>
      </w:r>
      <w:r>
        <w:t xml:space="preserve"> </w:t>
      </w:r>
      <w:r>
        <w:t xml:space="preserve">entre</w:t>
      </w:r>
      <w:r>
        <w:t xml:space="preserve"> </w:t>
      </w:r>
      <w:r>
        <w:t xml:space="preserve">las</w:t>
      </w:r>
      <w:r>
        <w:t xml:space="preserve"> </w:t>
      </w:r>
      <w:r>
        <w:t xml:space="preserve">Motivaciones</w:t>
      </w:r>
      <w:r>
        <w:t xml:space="preserve"> </w:t>
      </w:r>
      <w:r>
        <w:t xml:space="preserve">y</w:t>
      </w:r>
      <w:r>
        <w:t xml:space="preserve"> </w:t>
      </w:r>
      <w:r>
        <w:t xml:space="preserve">las</w:t>
      </w:r>
      <w:r>
        <w:t xml:space="preserve"> </w:t>
      </w:r>
      <w:r>
        <w:t xml:space="preserve">Prácticas</w:t>
      </w:r>
      <w:r>
        <w:t xml:space="preserve"> </w:t>
      </w:r>
      <w:r>
        <w:t xml:space="preserve">Cuestionables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</w:p>
    <w:p>
      <w:pPr>
        <w:pStyle w:val="FirstParagraph"/>
      </w:pPr>
      <w:r>
        <w:t xml:space="preserve">La web de este proyecto se ubica en la siguiente dirección de la Open Science Framework:</w:t>
      </w:r>
      <w:r>
        <w:t xml:space="preserve"> </w:t>
      </w:r>
      <w:hyperlink r:id="rId20">
        <w:r>
          <w:rPr>
            <w:rStyle w:val="Hyperlink"/>
          </w:rPr>
          <w:t xml:space="preserve">https://osf.io/s2tgw/</w:t>
        </w:r>
      </w:hyperlink>
      <w:r>
        <w:t xml:space="preserve"> </w:t>
      </w:r>
      <w:r>
        <w:t xml:space="preserve">El Identificador Digital del Objeto (DOI) electrónic es el: 10.17605/OSF.IO/S2TGW</w:t>
      </w:r>
    </w:p>
    <w:p>
      <w:pPr>
        <w:pStyle w:val="BodyText"/>
      </w:pPr>
      <w:r>
        <w:t xml:space="preserve">El archivo de datos de este proyecto es</w:t>
      </w:r>
      <w:r>
        <w:t xml:space="preserve"> </w:t>
      </w:r>
      <w:r>
        <w:rPr>
          <w:iCs/>
          <w:i/>
        </w:rPr>
        <w:t xml:space="preserve">exp.csv</w:t>
      </w:r>
      <w:r>
        <w:t xml:space="preserve">. En este archivo aparecen los datos brutos del proyecto. Se encuentra ubicado en la carpeta</w:t>
      </w:r>
      <w:r>
        <w:t xml:space="preserve"> </w:t>
      </w:r>
      <w:r>
        <w:rPr>
          <w:iCs/>
          <w:i/>
        </w:rPr>
        <w:t xml:space="preserve">dat</w:t>
      </w:r>
      <w:r>
        <w:t xml:space="preserve">.</w:t>
      </w:r>
    </w:p>
    <w:bookmarkStart w:id="25" w:name="carpetas"/>
    <w:p>
      <w:pPr>
        <w:pStyle w:val="Heading1"/>
      </w:pPr>
      <w:r>
        <w:t xml:space="preserve">Carpetas</w:t>
      </w:r>
    </w:p>
    <w:bookmarkStart w:id="21" w:name="dat"/>
    <w:p>
      <w:pPr>
        <w:pStyle w:val="Heading2"/>
      </w:pPr>
      <w:r>
        <w:rPr>
          <w:iCs/>
          <w:i/>
        </w:rPr>
        <w:t xml:space="preserve">dat</w:t>
      </w:r>
    </w:p>
    <w:p>
      <w:pPr>
        <w:pStyle w:val="FirstParagraph"/>
      </w:pPr>
      <w:r>
        <w:t xml:space="preserve">Esta carpeta contiene el archivo de datos bruto (</w:t>
      </w:r>
      <w:r>
        <w:rPr>
          <w:iCs/>
          <w:i/>
        </w:rPr>
        <w:t xml:space="preserve">exp.csv</w:t>
      </w:r>
      <w:r>
        <w:t xml:space="preserve">) así como los archivos de datos intermendios que han sido utilizados para realizar los diferentes análisis de datos.</w:t>
      </w:r>
    </w:p>
    <w:bookmarkEnd w:id="21"/>
    <w:bookmarkStart w:id="22" w:name="stx"/>
    <w:p>
      <w:pPr>
        <w:pStyle w:val="Heading2"/>
      </w:pPr>
      <w:r>
        <w:rPr>
          <w:iCs/>
          <w:i/>
        </w:rPr>
        <w:t xml:space="preserve">stx</w:t>
      </w:r>
    </w:p>
    <w:p>
      <w:pPr>
        <w:pStyle w:val="FirstParagraph"/>
      </w:pPr>
      <w:r>
        <w:t xml:space="preserve">Esta carpeta contiene los archivos de código fuente de R para realizar las transformacioens de los datos y los análisis de datos correspondientes.</w:t>
      </w:r>
    </w:p>
    <w:bookmarkEnd w:id="22"/>
    <w:bookmarkStart w:id="23" w:name="tbl"/>
    <w:p>
      <w:pPr>
        <w:pStyle w:val="Heading2"/>
      </w:pPr>
      <w:r>
        <w:rPr>
          <w:iCs/>
          <w:i/>
        </w:rPr>
        <w:t xml:space="preserve">tbl</w:t>
      </w:r>
    </w:p>
    <w:p>
      <w:pPr>
        <w:pStyle w:val="FirstParagraph"/>
      </w:pPr>
      <w:r>
        <w:t xml:space="preserve">Esta carpeta contiene las tablas producidas en el proceso de análisis de datos.</w:t>
      </w:r>
    </w:p>
    <w:bookmarkEnd w:id="23"/>
    <w:bookmarkStart w:id="24" w:name="fig"/>
    <w:p>
      <w:pPr>
        <w:pStyle w:val="Heading2"/>
      </w:pPr>
      <w:r>
        <w:rPr>
          <w:iCs/>
          <w:i/>
        </w:rPr>
        <w:t xml:space="preserve">fig</w:t>
      </w:r>
    </w:p>
    <w:p>
      <w:pPr>
        <w:pStyle w:val="FirstParagraph"/>
      </w:pPr>
      <w:r>
        <w:t xml:space="preserve">Esta carpeta contiene las figuras generadas a lo largo del proceso de análisis de datos.</w:t>
      </w:r>
    </w:p>
    <w:bookmarkEnd w:id="24"/>
    <w:bookmarkEnd w:id="25"/>
    <w:bookmarkStart w:id="53" w:name="archivos"/>
    <w:p>
      <w:pPr>
        <w:pStyle w:val="Heading1"/>
      </w:pPr>
      <w:r>
        <w:t xml:space="preserve">Archivos</w:t>
      </w:r>
    </w:p>
    <w:bookmarkStart w:id="32" w:name="archivos-de-datos"/>
    <w:p>
      <w:pPr>
        <w:pStyle w:val="Heading2"/>
      </w:pPr>
      <w:r>
        <w:rPr>
          <w:bCs/>
          <w:b/>
        </w:rPr>
        <w:t xml:space="preserve">Archivos de datos</w:t>
      </w:r>
    </w:p>
    <w:bookmarkStart w:id="28" w:name="exp.csv"/>
    <w:p>
      <w:pPr>
        <w:pStyle w:val="Heading3"/>
      </w:pPr>
      <w:r>
        <w:rPr>
          <w:iCs/>
          <w:i/>
        </w:rPr>
        <w:t xml:space="preserve">exp.csv</w:t>
      </w:r>
    </w:p>
    <w:p>
      <w:pPr>
        <w:pStyle w:val="FirstParagraph"/>
      </w:pPr>
      <w:r>
        <w:t xml:space="preserve">Es el archivo principal de datos de este proyecto. Contiene la información recogida por la encuesta electrónica. Este archivo genera la base de datos</w:t>
      </w:r>
      <w:r>
        <w:t xml:space="preserve"> </w:t>
      </w:r>
      <w:r>
        <w:rPr>
          <w:iCs/>
          <w:i/>
        </w:rPr>
        <w:t xml:space="preserve">imp.csv</w:t>
      </w:r>
      <w:r>
        <w:t xml:space="preserve">. El mapa de variables para este archivo se encuentra aquí:</w:t>
      </w:r>
      <w:r>
        <w:t xml:space="preserve"> </w:t>
      </w:r>
      <w:hyperlink r:id="rId26">
        <w:r>
          <w:rPr>
            <w:rStyle w:val="Hyperlink"/>
          </w:rPr>
          <w:t xml:space="preserve">https://osf.io/hmzdu/</w:t>
        </w:r>
      </w:hyperlink>
      <w:r>
        <w:t xml:space="preserve"> </w:t>
      </w:r>
      <w:r>
        <w:t xml:space="preserve">Este mapa de variables ha sido diseñado para que los datos que ponemos a disposición de la comunidad científica gocen de la calidad suficiente desde el punto de vista aplicado</w:t>
      </w:r>
      <w:r>
        <w:t xml:space="preserve"> </w:t>
      </w:r>
      <w:hyperlink r:id="rId27">
        <w:r>
          <w:rPr>
            <w:rStyle w:val="Hyperlink"/>
          </w:rPr>
          <w:t xml:space="preserve">(Musen, 2022)</w:t>
        </w:r>
      </w:hyperlink>
      <w:r>
        <w:t xml:space="preserve">.</w:t>
      </w:r>
    </w:p>
    <w:bookmarkEnd w:id="28"/>
    <w:bookmarkStart w:id="30" w:name="imp.csv"/>
    <w:p>
      <w:pPr>
        <w:pStyle w:val="Heading3"/>
      </w:pPr>
      <w:r>
        <w:rPr>
          <w:iCs/>
          <w:i/>
        </w:rPr>
        <w:t xml:space="preserve">imp.csv</w:t>
      </w:r>
    </w:p>
    <w:p>
      <w:pPr>
        <w:pStyle w:val="FirstParagraph"/>
      </w:pPr>
      <w:r>
        <w:t xml:space="preserve">Contiene la base de datos lista para ser procesada. El mapa de variables se encuentra el la web</w:t>
      </w:r>
      <w:r>
        <w:t xml:space="preserve"> </w:t>
      </w:r>
      <w:hyperlink r:id="rId26">
        <w:r>
          <w:rPr>
            <w:rStyle w:val="Hyperlink"/>
          </w:rPr>
          <w:t xml:space="preserve">https://osf.io/hmzdu/</w:t>
        </w:r>
      </w:hyperlink>
      <w:r>
        <w:t xml:space="preserve"> </w:t>
      </w:r>
      <w:r>
        <w:t xml:space="preserve">en formato PDF y en la web</w:t>
      </w:r>
      <w:r>
        <w:t xml:space="preserve"> </w:t>
      </w:r>
      <w:hyperlink r:id="rId29">
        <w:r>
          <w:rPr>
            <w:rStyle w:val="Hyperlink"/>
          </w:rPr>
          <w:t xml:space="preserve">https://osf.io/7jks9/</w:t>
        </w:r>
      </w:hyperlink>
      <w:r>
        <w:t xml:space="preserve"> </w:t>
      </w:r>
      <w:r>
        <w:t xml:space="preserve">en formato html.</w:t>
      </w:r>
    </w:p>
    <w:bookmarkEnd w:id="30"/>
    <w:bookmarkStart w:id="31" w:name="dat.csv"/>
    <w:p>
      <w:pPr>
        <w:pStyle w:val="Heading3"/>
      </w:pPr>
      <w:r>
        <w:rPr>
          <w:iCs/>
          <w:i/>
        </w:rPr>
        <w:t xml:space="preserve">dat.csv</w:t>
      </w:r>
    </w:p>
    <w:p>
      <w:pPr>
        <w:pStyle w:val="FirstParagraph"/>
      </w:pPr>
      <w:r>
        <w:t xml:space="preserve">Contiene los datos listos para ser procesados y analizados tras haber recodificado convenientemente las variables que contiene.</w:t>
      </w:r>
    </w:p>
    <w:bookmarkEnd w:id="31"/>
    <w:bookmarkEnd w:id="32"/>
    <w:bookmarkStart w:id="40" w:name="archivos-de-código"/>
    <w:p>
      <w:pPr>
        <w:pStyle w:val="Heading2"/>
      </w:pPr>
      <w:r>
        <w:rPr>
          <w:bCs/>
          <w:b/>
        </w:rPr>
        <w:t xml:space="preserve">Archivos de código</w:t>
      </w:r>
    </w:p>
    <w:bookmarkStart w:id="33" w:name="master_motmisc.r"/>
    <w:p>
      <w:pPr>
        <w:pStyle w:val="Heading3"/>
      </w:pPr>
      <w:r>
        <w:rPr>
          <w:iCs/>
          <w:i/>
        </w:rPr>
        <w:t xml:space="preserve">master_motMisc.R</w:t>
      </w:r>
    </w:p>
    <w:p>
      <w:pPr>
        <w:pStyle w:val="FirstParagraph"/>
      </w:pPr>
      <w:r>
        <w:t xml:space="preserve">Es el archivo de código fuente principal. Desde el se ejecutan los demás archivos presentes en la carpeta</w:t>
      </w:r>
      <w:r>
        <w:t xml:space="preserve"> </w:t>
      </w:r>
      <w:r>
        <w:rPr>
          <w:iCs/>
          <w:i/>
        </w:rPr>
        <w:t xml:space="preserve">stx</w:t>
      </w:r>
      <w:r>
        <w:t xml:space="preserve">.</w:t>
      </w:r>
    </w:p>
    <w:bookmarkEnd w:id="33"/>
    <w:bookmarkStart w:id="34" w:name="clean.r"/>
    <w:p>
      <w:pPr>
        <w:pStyle w:val="Heading3"/>
      </w:pPr>
      <w:r>
        <w:rPr>
          <w:iCs/>
          <w:i/>
        </w:rPr>
        <w:t xml:space="preserve">01_clean.R</w:t>
      </w:r>
    </w:p>
    <w:p>
      <w:pPr>
        <w:pStyle w:val="FirstParagraph"/>
      </w:pPr>
      <w:r>
        <w:t xml:space="preserve">Este archivo genera el archivo</w:t>
      </w:r>
      <w:r>
        <w:t xml:space="preserve"> </w:t>
      </w:r>
      <w:r>
        <w:rPr>
          <w:iCs/>
          <w:i/>
        </w:rPr>
        <w:t xml:space="preserve">imp.csv</w:t>
      </w:r>
      <w:r>
        <w:t xml:space="preserve"> </w:t>
      </w:r>
      <w:r>
        <w:t xml:space="preserve">a partir del archivo</w:t>
      </w:r>
      <w:r>
        <w:t xml:space="preserve"> </w:t>
      </w:r>
      <w:r>
        <w:rPr>
          <w:iCs/>
          <w:i/>
        </w:rPr>
        <w:t xml:space="preserve">exp.csv</w:t>
      </w:r>
      <w:r>
        <w:t xml:space="preserve"> </w:t>
      </w:r>
      <w:r>
        <w:t xml:space="preserve">y lo almacena en la carpeta</w:t>
      </w:r>
      <w:r>
        <w:t xml:space="preserve"> </w:t>
      </w:r>
      <w:r>
        <w:rPr>
          <w:iCs/>
          <w:i/>
        </w:rPr>
        <w:t xml:space="preserve">dat</w:t>
      </w:r>
      <w:r>
        <w:t xml:space="preserve">. Este código lo que hace es seleccionar y renombrar las 90 variables que se utilizan en el estudio. Véase el mapa de variables para más información (en formato PDF se encuentra aquí:</w:t>
      </w:r>
      <w:r>
        <w:t xml:space="preserve"> </w:t>
      </w:r>
      <w:hyperlink r:id="rId26">
        <w:r>
          <w:rPr>
            <w:rStyle w:val="Hyperlink"/>
          </w:rPr>
          <w:t xml:space="preserve">https://osf.io/hmzdu/</w:t>
        </w:r>
      </w:hyperlink>
      <w:r>
        <w:t xml:space="preserve">).</w:t>
      </w:r>
    </w:p>
    <w:bookmarkEnd w:id="34"/>
    <w:bookmarkStart w:id="36" w:name="recode.r"/>
    <w:p>
      <w:pPr>
        <w:pStyle w:val="Heading3"/>
      </w:pPr>
      <w:r>
        <w:rPr>
          <w:iCs/>
          <w:i/>
        </w:rPr>
        <w:t xml:space="preserve">02_recode.R</w:t>
      </w:r>
    </w:p>
    <w:p>
      <w:pPr>
        <w:pStyle w:val="FirstParagraph"/>
      </w:pPr>
      <w:r>
        <w:t xml:space="preserve">Este archivo recodifica las variables del archivo de datos</w:t>
      </w:r>
      <w:r>
        <w:t xml:space="preserve"> </w:t>
      </w:r>
      <w:r>
        <w:rPr>
          <w:iCs/>
          <w:i/>
        </w:rPr>
        <w:t xml:space="preserve">imp.csv</w:t>
      </w:r>
      <w:r>
        <w:t xml:space="preserve">. Estas son las recodificaciones ejecutadas:</w:t>
      </w:r>
    </w:p>
    <w:p>
      <w:pPr>
        <w:numPr>
          <w:ilvl w:val="0"/>
          <w:numId w:val="1001"/>
        </w:numPr>
      </w:pPr>
      <w:r>
        <w:t xml:space="preserve">La variabe</w:t>
      </w:r>
      <w:r>
        <w:t xml:space="preserve"> </w:t>
      </w:r>
      <w:r>
        <w:rPr>
          <w:iCs/>
          <w:i/>
        </w:rPr>
        <w:t xml:space="preserve">pais</w:t>
      </w:r>
      <w:r>
        <w:t xml:space="preserve"> </w:t>
      </w:r>
      <w:r>
        <w:t xml:space="preserve">se recodifica a</w:t>
      </w:r>
      <w:r>
        <w:t xml:space="preserve"> </w:t>
      </w:r>
      <w:r>
        <w:rPr>
          <w:iCs/>
          <w:i/>
        </w:rPr>
        <w:t xml:space="preserve">pais.r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La variable</w:t>
      </w:r>
      <w:r>
        <w:t xml:space="preserve"> </w:t>
      </w:r>
      <w:r>
        <w:rPr>
          <w:iCs/>
          <w:i/>
        </w:rPr>
        <w:t xml:space="preserve">area</w:t>
      </w:r>
      <w:r>
        <w:t xml:space="preserve"> </w:t>
      </w:r>
      <w:r>
        <w:t xml:space="preserve">original es recodificada a la variable</w:t>
      </w:r>
      <w:r>
        <w:t xml:space="preserve"> </w:t>
      </w:r>
      <w:r>
        <w:rPr>
          <w:iCs/>
          <w:i/>
        </w:rPr>
        <w:t xml:space="preserve">area.r</w:t>
      </w:r>
      <w:r>
        <w:t xml:space="preserve"> </w:t>
      </w:r>
      <w:r>
        <w:t xml:space="preserve">teniendo en cuenta las categorías planteadas en el artículo de</w:t>
      </w:r>
      <w:r>
        <w:t xml:space="preserve"> </w:t>
      </w:r>
      <w:hyperlink r:id="rId35">
        <w:r>
          <w:rPr>
            <w:rStyle w:val="Hyperlink"/>
          </w:rPr>
          <w:t xml:space="preserve">Gopalakrishna et al (2022)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Las variables</w:t>
      </w:r>
      <w:r>
        <w:t xml:space="preserve"> </w:t>
      </w:r>
      <w:r>
        <w:rPr>
          <w:iCs/>
          <w:i/>
        </w:rPr>
        <w:t xml:space="preserve">acreedu</w:t>
      </w:r>
      <w:r>
        <w:t xml:space="preserve">,</w:t>
      </w:r>
      <w:r>
        <w:t xml:space="preserve"> </w:t>
      </w:r>
      <w:r>
        <w:rPr>
          <w:iCs/>
          <w:i/>
        </w:rPr>
        <w:t xml:space="preserve">acreinv</w:t>
      </w:r>
      <w:r>
        <w:t xml:space="preserve">,</w:t>
      </w:r>
      <w:r>
        <w:t xml:space="preserve"> </w:t>
      </w:r>
      <w:r>
        <w:rPr>
          <w:iCs/>
          <w:i/>
        </w:rPr>
        <w:t xml:space="preserve">grupoinv</w:t>
      </w:r>
      <w:r>
        <w:t xml:space="preserve">,</w:t>
      </w:r>
      <w:r>
        <w:t xml:space="preserve"> </w:t>
      </w:r>
      <w:r>
        <w:rPr>
          <w:iCs/>
          <w:i/>
        </w:rPr>
        <w:t xml:space="preserve">nh1…nh5</w:t>
      </w:r>
      <w:r>
        <w:t xml:space="preserve">,</w:t>
      </w:r>
      <w:r>
        <w:t xml:space="preserve"> </w:t>
      </w:r>
      <w:r>
        <w:rPr>
          <w:iCs/>
          <w:i/>
        </w:rPr>
        <w:t xml:space="preserve">m1,…m10</w:t>
      </w:r>
      <w:r>
        <w:t xml:space="preserve">,</w:t>
      </w:r>
      <w:r>
        <w:t xml:space="preserve"> </w:t>
      </w:r>
      <w:r>
        <w:rPr>
          <w:iCs/>
          <w:i/>
        </w:rPr>
        <w:t xml:space="preserve">p1…p28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mp1…mp28</w:t>
      </w:r>
      <w:r>
        <w:t xml:space="preserve"> </w:t>
      </w:r>
      <w:r>
        <w:t xml:space="preserve">fueron recodificadas para que la respuesta</w:t>
      </w:r>
      <w:r>
        <w:t xml:space="preserve"> </w:t>
      </w:r>
      <w:r>
        <w:rPr>
          <w:iCs/>
          <w:i/>
        </w:rPr>
        <w:t xml:space="preserve">Sí</w:t>
      </w:r>
      <w:r>
        <w:t xml:space="preserve"> </w:t>
      </w:r>
      <w:r>
        <w:t xml:space="preserve">se asociase con el valor 1 y la respuesta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se asociase con el valor 0.</w:t>
      </w:r>
    </w:p>
    <w:p>
      <w:pPr>
        <w:numPr>
          <w:ilvl w:val="0"/>
          <w:numId w:val="1001"/>
        </w:numPr>
      </w:pPr>
      <w:r>
        <w:t xml:space="preserve">La base de datos generada (que sustituye las variables</w:t>
      </w:r>
      <w:r>
        <w:t xml:space="preserve"> </w:t>
      </w:r>
      <w:r>
        <w:rPr>
          <w:iCs/>
          <w:i/>
        </w:rPr>
        <w:t xml:space="preserve">pais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area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pais.r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area.r</w:t>
      </w:r>
      <w:r>
        <w:t xml:space="preserve"> </w:t>
      </w:r>
      <w:r>
        <w:t xml:space="preserve">respectivamente) es guardada en el archivo</w:t>
      </w:r>
      <w:r>
        <w:t xml:space="preserve"> </w:t>
      </w:r>
      <w:r>
        <w:rPr>
          <w:iCs/>
          <w:i/>
        </w:rPr>
        <w:t xml:space="preserve">dat.csv</w:t>
      </w:r>
      <w:r>
        <w:t xml:space="preserve"> </w:t>
      </w:r>
      <w:r>
        <w:t xml:space="preserve">dentro de la carpeta</w:t>
      </w:r>
      <w:r>
        <w:t xml:space="preserve"> </w:t>
      </w:r>
      <w:r>
        <w:rPr>
          <w:iCs/>
          <w:i/>
        </w:rPr>
        <w:t xml:space="preserve">dat</w:t>
      </w:r>
      <w:r>
        <w:t xml:space="preserve">.</w:t>
      </w:r>
    </w:p>
    <w:bookmarkEnd w:id="36"/>
    <w:bookmarkStart w:id="37" w:name="prev.r"/>
    <w:p>
      <w:pPr>
        <w:pStyle w:val="Heading3"/>
      </w:pPr>
      <w:r>
        <w:rPr>
          <w:iCs/>
          <w:i/>
        </w:rPr>
        <w:t xml:space="preserve">03_prev.R</w:t>
      </w:r>
    </w:p>
    <w:p>
      <w:pPr>
        <w:pStyle w:val="FirstParagraph"/>
      </w:pPr>
      <w:r>
        <w:t xml:space="preserve">Contiene el código que generar resultados relativos a la prevalencia. Genera los siguientes archivos:</w:t>
      </w:r>
    </w:p>
    <w:p>
      <w:pPr>
        <w:numPr>
          <w:ilvl w:val="0"/>
          <w:numId w:val="1002"/>
        </w:numPr>
      </w:pPr>
      <w:r>
        <w:t xml:space="preserve">Tabla</w:t>
      </w:r>
      <w:r>
        <w:t xml:space="preserve"> </w:t>
      </w:r>
      <w:r>
        <w:rPr>
          <w:iCs/>
          <w:i/>
        </w:rPr>
        <w:t xml:space="preserve">tb.pv.g.csv</w:t>
      </w:r>
      <w:r>
        <w:t xml:space="preserve"> </w:t>
      </w:r>
      <w:r>
        <w:t xml:space="preserve">contiene la prevalencia global de cada pci así como su intervalo de confianza al 95%.</w:t>
      </w:r>
    </w:p>
    <w:p>
      <w:pPr>
        <w:numPr>
          <w:ilvl w:val="0"/>
          <w:numId w:val="1002"/>
        </w:numPr>
      </w:pPr>
      <w:r>
        <w:t xml:space="preserve">Tabla</w:t>
      </w:r>
      <w:r>
        <w:t xml:space="preserve"> </w:t>
      </w:r>
      <w:r>
        <w:rPr>
          <w:iCs/>
          <w:i/>
        </w:rPr>
        <w:t xml:space="preserve">tb.pv.area.csv</w:t>
      </w:r>
      <w:r>
        <w:t xml:space="preserve"> </w:t>
      </w:r>
      <w:r>
        <w:t xml:space="preserve">en la que se muestra el porcentaje de veces que se reconoce haber haber llevado a cabo prácticas cuestionables de investigación (pci) en función del área de conocimiento.</w:t>
      </w:r>
    </w:p>
    <w:p>
      <w:pPr>
        <w:numPr>
          <w:ilvl w:val="0"/>
          <w:numId w:val="1002"/>
        </w:numPr>
      </w:pPr>
      <w:r>
        <w:t xml:space="preserve">Tabla</w:t>
      </w:r>
      <w:r>
        <w:t xml:space="preserve"> </w:t>
      </w:r>
      <w:r>
        <w:rPr>
          <w:iCs/>
          <w:i/>
        </w:rPr>
        <w:t xml:space="preserve">matcor.txt</w:t>
      </w:r>
      <w:r>
        <w:t xml:space="preserve"> </w:t>
      </w:r>
      <w:r>
        <w:t xml:space="preserve">en la que aparece la matriz de correlaciones en la que se estudia la relación que se establece entre el número total de prácticas cuestionables de investigación (pci) y otras variables cuantitativas del estudio.</w:t>
      </w:r>
    </w:p>
    <w:p>
      <w:pPr>
        <w:numPr>
          <w:ilvl w:val="0"/>
          <w:numId w:val="1002"/>
        </w:numPr>
      </w:pPr>
      <w:r>
        <w:t xml:space="preserve">Una serie de gráficos de caja y de dispersión que se almacenan en la carpeta de</w:t>
      </w:r>
      <w:r>
        <w:t xml:space="preserve"> </w:t>
      </w:r>
      <w:r>
        <w:rPr>
          <w:iCs/>
          <w:i/>
        </w:rPr>
        <w:t xml:space="preserve">fig</w:t>
      </w:r>
      <w:r>
        <w:t xml:space="preserve"> </w:t>
      </w:r>
      <w:r>
        <w:t xml:space="preserve">en formato PDF.</w:t>
      </w:r>
    </w:p>
    <w:bookmarkEnd w:id="37"/>
    <w:bookmarkStart w:id="38" w:name="fc_pv_g.r"/>
    <w:p>
      <w:pPr>
        <w:pStyle w:val="Heading3"/>
      </w:pPr>
      <w:r>
        <w:rPr>
          <w:iCs/>
          <w:i/>
        </w:rPr>
        <w:t xml:space="preserve">04_fc_pv_g.R</w:t>
      </w:r>
    </w:p>
    <w:p>
      <w:pPr>
        <w:pStyle w:val="FirstParagraph"/>
      </w:pPr>
      <w:r>
        <w:t xml:space="preserve">Este archivo contiene el código de la función pv.g() que computa la prevalencia y los intervalos de confianza para un conjunto de pci. Produce la tabla contenida en el archivo</w:t>
      </w:r>
      <w:r>
        <w:t xml:space="preserve"> </w:t>
      </w:r>
      <w:r>
        <w:rPr>
          <w:iCs/>
          <w:i/>
        </w:rPr>
        <w:t xml:space="preserve">tb.pv.g.csv</w:t>
      </w:r>
      <w:r>
        <w:t xml:space="preserve">.</w:t>
      </w:r>
    </w:p>
    <w:bookmarkEnd w:id="38"/>
    <w:bookmarkStart w:id="39" w:name="fc_pv_area.r"/>
    <w:p>
      <w:pPr>
        <w:pStyle w:val="Heading3"/>
      </w:pPr>
      <w:r>
        <w:rPr>
          <w:iCs/>
          <w:i/>
        </w:rPr>
        <w:t xml:space="preserve">05_fc_pv_area.R</w:t>
      </w:r>
    </w:p>
    <w:p>
      <w:pPr>
        <w:pStyle w:val="FirstParagraph"/>
      </w:pPr>
      <w:r>
        <w:t xml:space="preserve">Este archivo contiene el código de la función pv.area() que computa la prevalencia y los intervalos de confianza para un conjunto de pci en función del área de conocimiento. Produce la tabla contenida en el arcnivo</w:t>
      </w:r>
      <w:r>
        <w:t xml:space="preserve"> </w:t>
      </w:r>
      <w:r>
        <w:rPr>
          <w:iCs/>
          <w:i/>
        </w:rPr>
        <w:t xml:space="preserve">tb.pv.area.csv</w:t>
      </w:r>
      <w:r>
        <w:t xml:space="preserve">.</w:t>
      </w:r>
    </w:p>
    <w:bookmarkEnd w:id="39"/>
    <w:bookmarkEnd w:id="40"/>
    <w:bookmarkStart w:id="44" w:name="tablas"/>
    <w:p>
      <w:pPr>
        <w:pStyle w:val="Heading2"/>
      </w:pPr>
      <w:r>
        <w:rPr>
          <w:bCs/>
          <w:b/>
        </w:rPr>
        <w:t xml:space="preserve">Tablas</w:t>
      </w:r>
    </w:p>
    <w:bookmarkStart w:id="41" w:name="tb.pv.g.csv"/>
    <w:p>
      <w:pPr>
        <w:pStyle w:val="Heading3"/>
      </w:pPr>
      <w:r>
        <w:rPr>
          <w:iCs/>
          <w:i/>
        </w:rPr>
        <w:t xml:space="preserve">tb.pv.g.csv</w:t>
      </w:r>
    </w:p>
    <w:p>
      <w:pPr>
        <w:pStyle w:val="FirstParagraph"/>
      </w:pPr>
      <w:r>
        <w:t xml:space="preserve">Contiene la prevalencia global para cada práctica cuestionables de investigación (pci) con su correspondiente intervalo de confianza al 95%. Estos datos son análogos a los presentados por</w:t>
      </w:r>
      <w:r>
        <w:t xml:space="preserve"> </w:t>
      </w:r>
      <w:hyperlink r:id="rId35">
        <w:r>
          <w:rPr>
            <w:rStyle w:val="Hyperlink"/>
          </w:rPr>
          <w:t xml:space="preserve">Gopalakrishna et al (2022)</w:t>
        </w:r>
      </w:hyperlink>
      <w:r>
        <w:t xml:space="preserve"> </w:t>
      </w:r>
      <w:r>
        <w:t xml:space="preserve">en la columna derecha de la Tabla 2</w:t>
      </w:r>
    </w:p>
    <w:bookmarkEnd w:id="41"/>
    <w:bookmarkStart w:id="42" w:name="tb.pv.area.csv"/>
    <w:p>
      <w:pPr>
        <w:pStyle w:val="Heading3"/>
      </w:pPr>
      <w:r>
        <w:rPr>
          <w:iCs/>
          <w:i/>
        </w:rPr>
        <w:t xml:space="preserve">tb.pv.area.csv</w:t>
      </w:r>
    </w:p>
    <w:p>
      <w:pPr>
        <w:pStyle w:val="FirstParagraph"/>
      </w:pPr>
      <w:r>
        <w:t xml:space="preserve">Contiene el porcentaje de ocurrencia de cada pci en función del área de conocimiento. Esta tabla es análoga a parte de la presentada en el artículo artículo de</w:t>
      </w:r>
      <w:r>
        <w:t xml:space="preserve"> </w:t>
      </w:r>
      <w:hyperlink r:id="rId35">
        <w:r>
          <w:rPr>
            <w:rStyle w:val="Hyperlink"/>
          </w:rPr>
          <w:t xml:space="preserve">Gopalakrishna et al (2022)</w:t>
        </w:r>
      </w:hyperlink>
      <w:r>
        <w:t xml:space="preserve"> </w:t>
      </w:r>
      <w:r>
        <w:t xml:space="preserve">en la Tabla 2.</w:t>
      </w:r>
    </w:p>
    <w:bookmarkEnd w:id="42"/>
    <w:bookmarkStart w:id="43" w:name="matcor.txt"/>
    <w:p>
      <w:pPr>
        <w:pStyle w:val="Heading3"/>
      </w:pPr>
      <w:r>
        <w:rPr>
          <w:iCs/>
          <w:i/>
        </w:rPr>
        <w:t xml:space="preserve">matcor.txt</w:t>
      </w:r>
    </w:p>
    <w:p>
      <w:pPr>
        <w:pStyle w:val="FirstParagraph"/>
      </w:pPr>
      <w:r>
        <w:t xml:space="preserve">Matriz de correlaciones para la relación que se establece entre la variable PCI y demás variables del estudio.</w:t>
      </w:r>
    </w:p>
    <w:bookmarkEnd w:id="43"/>
    <w:bookmarkEnd w:id="44"/>
    <w:bookmarkStart w:id="52" w:name="figuras"/>
    <w:p>
      <w:pPr>
        <w:pStyle w:val="Heading2"/>
      </w:pPr>
      <w:r>
        <w:rPr>
          <w:bCs/>
          <w:b/>
        </w:rPr>
        <w:t xml:space="preserve">Figuras</w:t>
      </w:r>
    </w:p>
    <w:bookmarkStart w:id="45" w:name="hist_pci.pdf"/>
    <w:p>
      <w:pPr>
        <w:pStyle w:val="Heading3"/>
      </w:pPr>
      <w:r>
        <w:rPr>
          <w:iCs/>
          <w:i/>
        </w:rPr>
        <w:t xml:space="preserve">hist_pci.pdf</w:t>
      </w:r>
    </w:p>
    <w:p>
      <w:pPr>
        <w:pStyle w:val="FirstParagraph"/>
      </w:pPr>
      <w:r>
        <w:t xml:space="preserve">Es el histograma de la variable PCI, número total de prácticas cuestionables de investigación llevadas a cabo por los participantes del estudio.</w:t>
      </w:r>
    </w:p>
    <w:bookmarkEnd w:id="45"/>
    <w:bookmarkStart w:id="46" w:name="box_pci_area.pdf"/>
    <w:p>
      <w:pPr>
        <w:pStyle w:val="Heading3"/>
      </w:pPr>
      <w:r>
        <w:rPr>
          <w:iCs/>
          <w:i/>
        </w:rPr>
        <w:t xml:space="preserve">box_pci_area.pdf</w:t>
      </w:r>
    </w:p>
    <w:p>
      <w:pPr>
        <w:pStyle w:val="FirstParagraph"/>
      </w:pPr>
      <w:r>
        <w:t xml:space="preserve">Es el gráfico de caja de la variable PCI en función del área de conocimiento de los participantes.</w:t>
      </w:r>
    </w:p>
    <w:bookmarkEnd w:id="46"/>
    <w:bookmarkStart w:id="47" w:name="box_pci_insti.pdf"/>
    <w:p>
      <w:pPr>
        <w:pStyle w:val="Heading3"/>
      </w:pPr>
      <w:r>
        <w:rPr>
          <w:iCs/>
          <w:i/>
        </w:rPr>
        <w:t xml:space="preserve">box_pci_insti.pdf</w:t>
      </w:r>
    </w:p>
    <w:p>
      <w:pPr>
        <w:pStyle w:val="FirstParagraph"/>
      </w:pPr>
      <w:r>
        <w:t xml:space="preserve">Gráfico de caja para la variable PCI en función del tipo de institución.</w:t>
      </w:r>
    </w:p>
    <w:bookmarkEnd w:id="47"/>
    <w:bookmarkStart w:id="48" w:name="pci_edex.pdf"/>
    <w:p>
      <w:pPr>
        <w:pStyle w:val="Heading3"/>
      </w:pPr>
      <w:r>
        <w:rPr>
          <w:iCs/>
          <w:i/>
        </w:rPr>
        <w:t xml:space="preserve">pci_edex.pdf</w:t>
      </w:r>
    </w:p>
    <w:p>
      <w:pPr>
        <w:pStyle w:val="FirstParagraph"/>
      </w:pPr>
      <w:r>
        <w:t xml:space="preserve">Gráfico de dispersión de la relación que se establece entre el número de PCI y los años de experiencia docente.</w:t>
      </w:r>
    </w:p>
    <w:bookmarkEnd w:id="48"/>
    <w:bookmarkStart w:id="49" w:name="pci_exin.pdf"/>
    <w:p>
      <w:pPr>
        <w:pStyle w:val="Heading3"/>
      </w:pPr>
      <w:r>
        <w:rPr>
          <w:iCs/>
          <w:i/>
        </w:rPr>
        <w:t xml:space="preserve">pci_exin.pdf</w:t>
      </w:r>
    </w:p>
    <w:p>
      <w:pPr>
        <w:pStyle w:val="FirstParagraph"/>
      </w:pPr>
      <w:r>
        <w:t xml:space="preserve">Gráfico de dispersión de la relación que se establece entre el número de PCI y los años de experiencia investigadora.</w:t>
      </w:r>
    </w:p>
    <w:bookmarkEnd w:id="49"/>
    <w:bookmarkStart w:id="50" w:name="pci_autprin.pdf"/>
    <w:p>
      <w:pPr>
        <w:pStyle w:val="Heading3"/>
      </w:pPr>
      <w:r>
        <w:rPr>
          <w:iCs/>
          <w:i/>
        </w:rPr>
        <w:t xml:space="preserve">pci_autprin.pdf</w:t>
      </w:r>
    </w:p>
    <w:p>
      <w:pPr>
        <w:pStyle w:val="FirstParagraph"/>
      </w:pPr>
      <w:r>
        <w:t xml:space="preserve">Gráfico de dispersión de la relación que se establece entre el número de PCI y el número de artículos publicados como autor/a principal.</w:t>
      </w:r>
    </w:p>
    <w:bookmarkEnd w:id="50"/>
    <w:bookmarkStart w:id="51" w:name="pci_njcr.pdf"/>
    <w:p>
      <w:pPr>
        <w:pStyle w:val="Heading3"/>
      </w:pPr>
      <w:r>
        <w:rPr>
          <w:iCs/>
          <w:i/>
        </w:rPr>
        <w:t xml:space="preserve">pci_njcr.pdf</w:t>
      </w:r>
    </w:p>
    <w:p>
      <w:pPr>
        <w:pStyle w:val="FirstParagraph"/>
      </w:pPr>
      <w:r>
        <w:t xml:space="preserve">Gráfico de dispersión de la relación que se establece entre el número de PCI y el número de artículos publicados en revistas indexadas en la JCR (</w:t>
      </w:r>
      <w:r>
        <w:rPr>
          <w:iCs/>
          <w:i/>
        </w:rPr>
        <w:t xml:space="preserve">Journal Citations Reports</w:t>
      </w:r>
      <w:r>
        <w:t xml:space="preserve">).</w:t>
      </w:r>
    </w:p>
    <w:bookmarkEnd w:id="51"/>
    <w:bookmarkEnd w:id="52"/>
    <w:bookmarkEnd w:id="53"/>
    <w:bookmarkStart w:id="54" w:name="referencias"/>
    <w:p>
      <w:pPr>
        <w:pStyle w:val="Heading1"/>
      </w:pPr>
      <w:r>
        <w:t xml:space="preserve">Referencias</w:t>
      </w:r>
    </w:p>
    <w:p>
      <w:pPr>
        <w:numPr>
          <w:ilvl w:val="0"/>
          <w:numId w:val="1003"/>
        </w:numPr>
      </w:pPr>
      <w:r>
        <w:t xml:space="preserve">Gopalakrishna, G., Gerben ter Riet, G., Gerko Vink, G., Stoop, I., Wicherts, J. M., Bouter, L. M. (2022). Prevalence of questionable research practices, research misconduct and their potential explanatory factors: A survey among academic researchers in The Netherlands,</w:t>
      </w:r>
      <w:r>
        <w:t xml:space="preserve"> </w:t>
      </w:r>
      <w:r>
        <w:rPr>
          <w:iCs/>
          <w:i/>
        </w:rPr>
        <w:t xml:space="preserve">PlosONE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https://doi.org/10.1371/journal.pone.0263023</w:t>
        </w:r>
      </w:hyperlink>
    </w:p>
    <w:p>
      <w:pPr>
        <w:numPr>
          <w:ilvl w:val="0"/>
          <w:numId w:val="1003"/>
        </w:numPr>
      </w:pPr>
      <w:r>
        <w:t xml:space="preserve">Musen, M. A. (2022, Septiembre 5). Without appropriate metadata, data-sharing mandates are pointless.</w:t>
      </w:r>
      <w:r>
        <w:t xml:space="preserve"> </w:t>
      </w:r>
      <w:r>
        <w:rPr>
          <w:iCs/>
          <w:i/>
        </w:rPr>
        <w:t xml:space="preserve">Nature, 609</w:t>
      </w:r>
      <w:r>
        <w:t xml:space="preserve">, 222.</w:t>
      </w:r>
      <w:r>
        <w:t xml:space="preserve"> </w:t>
      </w:r>
      <w:hyperlink r:id="rId27">
        <w:r>
          <w:rPr>
            <w:rStyle w:val="Hyperlink"/>
          </w:rPr>
          <w:t xml:space="preserve">https://doi.org/10.1038/d41586-022-02820-7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38/d41586-022-02820-7" TargetMode="External" /><Relationship Type="http://schemas.openxmlformats.org/officeDocument/2006/relationships/hyperlink" Id="rId35" Target="https://doi.org/10.1371/journal.pone.0263023" TargetMode="External" /><Relationship Type="http://schemas.openxmlformats.org/officeDocument/2006/relationships/hyperlink" Id="rId29" Target="https://osf.io/7jks9/" TargetMode="External" /><Relationship Type="http://schemas.openxmlformats.org/officeDocument/2006/relationships/hyperlink" Id="rId26" Target="https://osf.io/hmzdu/" TargetMode="External" /><Relationship Type="http://schemas.openxmlformats.org/officeDocument/2006/relationships/hyperlink" Id="rId20" Target="https://osf.io/s2tg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d41586-022-02820-7" TargetMode="External" /><Relationship Type="http://schemas.openxmlformats.org/officeDocument/2006/relationships/hyperlink" Id="rId35" Target="https://doi.org/10.1371/journal.pone.0263023" TargetMode="External" /><Relationship Type="http://schemas.openxmlformats.org/officeDocument/2006/relationships/hyperlink" Id="rId29" Target="https://osf.io/7jks9/" TargetMode="External" /><Relationship Type="http://schemas.openxmlformats.org/officeDocument/2006/relationships/hyperlink" Id="rId26" Target="https://osf.io/hmzdu/" TargetMode="External" /><Relationship Type="http://schemas.openxmlformats.org/officeDocument/2006/relationships/hyperlink" Id="rId20" Target="https://osf.io/s2tg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motMisc: Análisis Exploratorio de la Relación que se establece entre las Motivaciones y las Prácticas Cuestionables de Investigación</dc:title>
  <dc:creator/>
  <cp:keywords/>
  <dcterms:created xsi:type="dcterms:W3CDTF">2022-12-15T09:47:59Z</dcterms:created>
  <dcterms:modified xsi:type="dcterms:W3CDTF">2022-12-15T09:47:59Z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