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navigators-idr-detailed-project-guide"/>
    <w:p>
      <w:pPr>
        <w:pStyle w:val="Heading1"/>
      </w:pPr>
      <w:r>
        <w:t xml:space="preserve">Navigators IDR — Detailed Project Guide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guide explains the exact components and data flow of the Navigators IDR system.</w:t>
      </w:r>
    </w:p>
    <w:bookmarkEnd w:id="9"/>
    <w:bookmarkStart w:id="13" w:name="component-walkthrough"/>
    <w:p>
      <w:pPr>
        <w:pStyle w:val="Heading2"/>
      </w:pPr>
      <w:r>
        <w:t xml:space="preserve">2. Component Walkthrough</w:t>
      </w:r>
    </w:p>
    <w:bookmarkStart w:id="10" w:name="preprocessing-and-alignment"/>
    <w:p>
      <w:pPr>
        <w:pStyle w:val="Heading3"/>
      </w:pPr>
      <w:r>
        <w:t xml:space="preserve">2.1 Preprocessing and Alignment</w:t>
      </w:r>
    </w:p>
    <w:p>
      <w:pPr>
        <w:pStyle w:val="FirstParagraph"/>
      </w:pPr>
      <w:r>
        <w:t xml:space="preserve">Raw IMU data is noisy and arbitrary in orientation. The system first estimates gravity to establish the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vector. Then, by observing acceleration during movement, it establishes the</w:t>
      </w:r>
      <w:r>
        <w:t xml:space="preserve"> </w:t>
      </w:r>
      <w:r>
        <w:rPr>
          <w:i/>
          <w:iCs/>
        </w:rPr>
        <w:t xml:space="preserve">Forward</w:t>
      </w:r>
      <w:r>
        <w:t xml:space="preserve"> </w:t>
      </w:r>
      <w:r>
        <w:t xml:space="preserve">vector. This allows the system to rotate all raw IMU data into the vehicle frame.</w:t>
      </w:r>
    </w:p>
    <w:bookmarkEnd w:id="10"/>
    <w:bookmarkStart w:id="11" w:name="deep-learning-tcn-velocity-estimation"/>
    <w:p>
      <w:pPr>
        <w:pStyle w:val="Heading3"/>
      </w:pPr>
      <w:r>
        <w:t xml:space="preserve">2.2 Deep Learning (TCN) Velocity Estimation</w:t>
      </w:r>
    </w:p>
    <w:p>
      <w:pPr>
        <w:pStyle w:val="FirstParagraph"/>
      </w:pPr>
      <w:r>
        <w:t xml:space="preserve">Instead of raw double integration (which drifts quadratically in seconds), the system windows 200 timesteps (2 seconds) of aligned IMU data and passes it to an ONNX-exported Temporal Convolutional Network. The network outputs a</w:t>
      </w:r>
      <w:r>
        <w:t xml:space="preserve"> </w:t>
      </w:r>
      <w:r>
        <w:rPr>
          <w:rStyle w:val="VerbatimChar"/>
        </w:rPr>
        <w:t xml:space="preserve">[v_forward, v_lateral]</w:t>
      </w:r>
      <w:r>
        <w:t xml:space="preserve"> </w:t>
      </w:r>
      <w:r>
        <w:t xml:space="preserve">prediction.</w:t>
      </w:r>
    </w:p>
    <w:bookmarkEnd w:id="11"/>
    <w:bookmarkStart w:id="12" w:name="the-15-state-ekf"/>
    <w:p>
      <w:pPr>
        <w:pStyle w:val="Heading3"/>
      </w:pPr>
      <w:r>
        <w:t xml:space="preserve">2.3 The 15-State EKF</w:t>
      </w:r>
    </w:p>
    <w:p>
      <w:pPr>
        <w:pStyle w:val="FirstParagraph"/>
      </w:pPr>
      <w:r>
        <w:t xml:space="preserve">The EKF state vector includes:</w:t>
      </w:r>
      <w:r>
        <w:t xml:space="preserve"> </w:t>
      </w:r>
      <w:r>
        <w:t xml:space="preserve">- Position (3D)</w:t>
      </w:r>
      <w:r>
        <w:t xml:space="preserve"> </w:t>
      </w:r>
      <w:r>
        <w:t xml:space="preserve">- Velocity (3D)</w:t>
      </w:r>
      <w:r>
        <w:t xml:space="preserve"> </w:t>
      </w:r>
      <w:r>
        <w:t xml:space="preserve">- Attitude (3D Quaternions/Euler)</w:t>
      </w:r>
      <w:r>
        <w:t xml:space="preserve"> </w:t>
      </w:r>
      <w:r>
        <w:t xml:space="preserve">- Accel Bias (3D)</w:t>
      </w:r>
      <w:r>
        <w:t xml:space="preserve"> </w:t>
      </w:r>
      <w:r>
        <w:t xml:space="preserve">- Gyro Bias (3D)</w:t>
      </w:r>
    </w:p>
    <w:p>
      <w:pPr>
        <w:pStyle w:val="BodyText"/>
      </w:pPr>
      <w:r>
        <w:t xml:space="preserve">The EKF prediction step uses raw IMU. The update step fuses the TCN velocity prediction (as a pseudo-measurement), NHC, ZUPT, and GNSS (when available).</w:t>
      </w:r>
    </w:p>
    <w:bookmarkEnd w:id="12"/>
    <w:bookmarkEnd w:id="13"/>
    <w:bookmarkStart w:id="14" w:name="data-collection-protocol"/>
    <w:p>
      <w:pPr>
        <w:pStyle w:val="Heading2"/>
      </w:pPr>
      <w:r>
        <w:t xml:space="preserve">3. Data Collection Protocol</w:t>
      </w:r>
    </w:p>
    <w:p>
      <w:pPr>
        <w:pStyle w:val="FirstParagraph"/>
      </w:pPr>
      <w:r>
        <w:t xml:space="preserve">When generating the training dataset, variety is critical to generalization.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 not train on one person’s driving only.</w:t>
      </w:r>
      <w:r>
        <w:t xml:space="preserve"> </w:t>
      </w:r>
      <w:r>
        <w:t xml:space="preserve">- Collect multiple trips across different environments (Urban, Highway, Residential).</w:t>
      </w:r>
      <w:r>
        <w:t xml:space="preserve"> </w:t>
      </w:r>
      <w:r>
        <w:t xml:space="preserve">- Capture different traffic states (Free-flowing, Stop-and-Go).</w:t>
      </w:r>
      <w:r>
        <w:t xml:space="preserve"> </w:t>
      </w:r>
      <w:r>
        <w:t xml:space="preserve">- Ensure the phone is mounted in completely different physical orientations across trips to force the Phone-to-Vehicle Triad alignment algorithm to generalize.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Labels</w:t>
      </w:r>
      <w:r>
        <w:t xml:space="preserve">: During training</w:t>
      </w:r>
      <w:r>
        <w:t xml:space="preserve"> </w:t>
      </w:r>
      <w:r>
        <w:rPr>
          <w:i/>
          <w:iCs/>
        </w:rPr>
        <w:t xml:space="preserve">only</w:t>
      </w:r>
      <w:r>
        <w:t xml:space="preserve">, the GNSS speed and heading are mathematically converted into</w:t>
      </w:r>
      <w:r>
        <w:t xml:space="preserve"> </w:t>
      </w:r>
      <w:r>
        <w:rPr>
          <w:rStyle w:val="VerbatimChar"/>
        </w:rPr>
        <w:t xml:space="preserve">vel_forward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vel_lateral</w:t>
      </w:r>
      <w:r>
        <w:t xml:space="preserve"> </w:t>
      </w:r>
      <w:r>
        <w:t xml:space="preserve">to serve as the ground truth labels for the TCN.</w:t>
      </w:r>
    </w:p>
    <w:bookmarkEnd w:id="14"/>
    <w:bookmarkStart w:id="15" w:name="running-the-validation-suite"/>
    <w:p>
      <w:pPr>
        <w:pStyle w:val="Heading2"/>
      </w:pPr>
      <w:r>
        <w:t xml:space="preserve">4. Running the Validation Suite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scripts/benchmark.py</w:t>
      </w:r>
      <w:r>
        <w:t xml:space="preserve"> </w:t>
      </w:r>
      <w:r>
        <w:t xml:space="preserve">script runs the entire system through real-world scenarios. It dynamically injects artificial GNSS outages (e.g. 100m, 250m) and strictly cuts off the EKF’s access to the GNSS tracks. The system must natively dead-reckon using only the TCN predictions, and the resulting positional error is measured against the hidden GNSS ground truth.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2026-09-08T16:34:26Z</dcterms:created>
  <dcterms:modified xsi:type="dcterms:W3CDTF">2026-09-08T16:34:26Z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