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8a76cace95320f7dba630c9ca6c4d7c0e881f2"/>
    <w:p>
      <w:pPr>
        <w:pStyle w:val="Heading1"/>
      </w:pPr>
      <w:r>
        <w:t xml:space="preserve">Navigators IDR — Project Requirements Document (PRD)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Navigators Intelligent Dead Reckoning (IDR) system provides continuous vehicle navigation using smartphone sensors during GNSS outages.</w:t>
      </w:r>
    </w:p>
    <w:bookmarkEnd w:id="9"/>
    <w:bookmarkStart w:id="10" w:name="functional-requirements"/>
    <w:p>
      <w:pPr>
        <w:pStyle w:val="Heading2"/>
      </w:pPr>
      <w:r>
        <w:t xml:space="preserve">2. Functional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FR1</w:t>
      </w:r>
      <w:r>
        <w:t xml:space="preserve">: Collect IMU data (Accel/Gyro) at minimum 50Hz (target 100Hz).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FR2</w:t>
      </w:r>
      <w:r>
        <w:t xml:space="preserve">: Detect GNSS loss and seamlessly switch to dead reckoning.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FR3</w:t>
      </w:r>
      <w:r>
        <w:t xml:space="preserve">: Estimate 2D vehicle velocity using a deep learning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FR4</w:t>
      </w:r>
      <w:r>
        <w:t xml:space="preserve">: Fuse AI velocity with IMU using a 15-state EKF.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FR5</w:t>
      </w:r>
      <w:r>
        <w:t xml:space="preserve">: Run completely offline without cellular or backend API dependencies in the final production app.</w:t>
      </w:r>
    </w:p>
    <w:bookmarkEnd w:id="10"/>
    <w:bookmarkStart w:id="11" w:name="non-functional-requirements"/>
    <w:p>
      <w:pPr>
        <w:pStyle w:val="Heading2"/>
      </w:pPr>
      <w:r>
        <w:t xml:space="preserve">3. Non-Functional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NFR1</w:t>
      </w:r>
      <w:r>
        <w:t xml:space="preserve">: End-to-end latency per window must be under 100ms (10Hz). Current ONNX benchmark: ~0.7ms.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NFR2</w:t>
      </w:r>
      <w:r>
        <w:t xml:space="preserve">: System must not leak ground truth data into the estimator during validation.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NFR3</w:t>
      </w:r>
      <w:r>
        <w:t xml:space="preserve">: The application must be lightweight and battery-efficient on mid-range smartphones.</w:t>
      </w:r>
    </w:p>
    <w:bookmarkEnd w:id="11"/>
    <w:bookmarkStart w:id="12" w:name="excluded-scope"/>
    <w:p>
      <w:pPr>
        <w:pStyle w:val="Heading2"/>
      </w:pPr>
      <w:r>
        <w:t xml:space="preserve">4. Excluded Scope</w:t>
      </w:r>
    </w:p>
    <w:p>
      <w:pPr>
        <w:pStyle w:val="Compact"/>
        <w:numPr>
          <w:ilvl w:val="0"/>
          <w:numId w:val="1003"/>
        </w:numPr>
      </w:pPr>
      <w:r>
        <w:t xml:space="preserve">Connecting to vehicle OBD-II ports.</w:t>
      </w:r>
    </w:p>
    <w:p>
      <w:pPr>
        <w:pStyle w:val="Compact"/>
        <w:numPr>
          <w:ilvl w:val="0"/>
          <w:numId w:val="1003"/>
        </w:numPr>
      </w:pPr>
      <w:r>
        <w:t xml:space="preserve">Utilizing external CAN bus data or speedometer ticks.</w:t>
      </w:r>
    </w:p>
    <w:p>
      <w:pPr>
        <w:pStyle w:val="Compact"/>
        <w:numPr>
          <w:ilvl w:val="0"/>
          <w:numId w:val="1003"/>
        </w:numPr>
      </w:pPr>
      <w:r>
        <w:t xml:space="preserve">Cloud-based inference (strictly prohibited for the final runtime).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2026-09-08T16:34:27Z</dcterms:created>
  <dcterms:modified xsi:type="dcterms:W3CDTF">2026-09-08T16:34:27Z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