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192.00000000000003" w:lineRule="auto"/>
        <w:ind w:left="-7.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1510.72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/>
            </w:pPr>
            <w:bookmarkStart w:colFirst="0" w:colLast="0" w:name="_5spr6sb905xl" w:id="0"/>
            <w:bookmarkEnd w:id="0"/>
            <w:r w:rsidDel="00000000" w:rsidR="00000000" w:rsidRPr="00000000">
              <w:rPr>
                <w:rtl w:val="0"/>
              </w:rPr>
              <w:t xml:space="preserve">Supply Chain data Analysis</w:t>
            </w:r>
          </w:p>
        </w:tc>
      </w:tr>
    </w:tbl>
    <w:p w:rsidR="00000000" w:rsidDel="00000000" w:rsidP="00000000" w:rsidRDefault="00000000" w:rsidRPr="00000000" w14:paraId="00000007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601.65199999999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2"/>
              <w:rPr/>
            </w:pPr>
            <w:bookmarkStart w:colFirst="0" w:colLast="0" w:name="_qeidvn7b0ll6" w:id="1"/>
            <w:bookmarkEnd w:id="1"/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276" w:lineRule="auto"/>
        <w:rPr/>
      </w:pPr>
      <w:bookmarkStart w:colFirst="0" w:colLast="0" w:name="_j2ea054xo9ka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am2clz5ep5w7" w:id="3"/>
      <w:bookmarkEnd w:id="3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comprehensive supply chain analysis aims 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operational efficiency by identifying bottlenecks in procurement, production, and logistics.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profitability through data-driven decisions on inventory, supplier performance, and transportation modes.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Mitigate risks by predicting defects, demand fluctuations, and delivery delays.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vmxthyf6h02k" w:id="4"/>
      <w:bookmarkEnd w:id="4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analysis covers: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Dimensions: </w:t>
      </w:r>
      <w:r w:rsidDel="00000000" w:rsidR="00000000" w:rsidRPr="00000000">
        <w:rPr>
          <w:rtl w:val="0"/>
        </w:rPr>
        <w:t xml:space="preserve">100 transactions × 24 features (e.g., Product type, Defect rates, Lead times).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Areas: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Demand forecasting and inventory optimization.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Supplier performance evaluation (cost, quality, lead times).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350" w:hanging="360"/>
        <w:rPr>
          <w:u w:val="none"/>
        </w:rPr>
      </w:pPr>
      <w:r w:rsidDel="00000000" w:rsidR="00000000" w:rsidRPr="00000000">
        <w:rPr>
          <w:rtl w:val="0"/>
        </w:rPr>
        <w:t xml:space="preserve">Logistics cost and route efficiency.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 Exploratory Data Analysis (EDA), predictive modeling (XGBoost, Linear Regression), and prescriptive optimization (Linear Programming).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gwcnqhrr23gy" w:id="5"/>
      <w:bookmarkEnd w:id="5"/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right="24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 Savings:</w:t>
      </w:r>
      <w:r w:rsidDel="00000000" w:rsidR="00000000" w:rsidRPr="00000000">
        <w:rPr>
          <w:rtl w:val="0"/>
        </w:rPr>
        <w:t xml:space="preserve"> Identified 15% potential reduction in shipping costs by prioritizing sea/rail over air transport.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right="24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Satisfaction</w:t>
      </w:r>
      <w:r w:rsidDel="00000000" w:rsidR="00000000" w:rsidRPr="00000000">
        <w:rPr>
          <w:rtl w:val="0"/>
        </w:rPr>
        <w:t xml:space="preserve">: Highlighted Kolkata and Delhi as high-demand regions needing stock prioritization.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right="24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Strategic Alignment</w:t>
      </w:r>
      <w:r w:rsidDel="00000000" w:rsidR="00000000" w:rsidRPr="00000000">
        <w:rPr>
          <w:rtl w:val="0"/>
        </w:rPr>
        <w:t xml:space="preserve">: Supports the company’s goal to reduce defects by 20% in 2025 through supplier audits.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6"/>
        <w:gridCol w:w="4860"/>
        <w:gridCol w:w="3600"/>
        <w:tblGridChange w:id="0">
          <w:tblGrid>
            <w:gridCol w:w="2376"/>
            <w:gridCol w:w="4860"/>
            <w:gridCol w:w="36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-332.64000000000004" w:type="dxa"/>
              <w:left w:w="-332.64000000000004" w:type="dxa"/>
              <w:bottom w:w="-332.64000000000004" w:type="dxa"/>
              <w:right w:w="-332.64000000000004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rPr/>
            </w:pPr>
            <w:bookmarkStart w:colFirst="0" w:colLast="0" w:name="_vbit9k8fy7g0" w:id="6"/>
            <w:bookmarkEnd w:id="6"/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76" w:lineRule="auto"/>
        <w:rPr/>
      </w:pPr>
      <w:bookmarkStart w:colFirst="0" w:colLast="0" w:name="_sbpnvaaqy8jf" w:id="7"/>
      <w:bookmarkEnd w:id="7"/>
      <w:r w:rsidDel="00000000" w:rsidR="00000000" w:rsidRPr="00000000">
        <w:rPr>
          <w:rtl w:val="0"/>
        </w:rPr>
        <w:t xml:space="preserve">Vision &amp; objectives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pok2jtn5qw8f" w:id="8"/>
      <w:bookmarkEnd w:id="8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"To build a resilient, data-driven supply chain that balances cost efficiency with customer satisfaction, leveraging AI/ML for real-time decision-making."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lqpcnm5phm9c" w:id="9"/>
      <w:bookmarkEnd w:id="9"/>
      <w:r w:rsidDel="00000000" w:rsidR="00000000" w:rsidRPr="00000000">
        <w:rPr>
          <w:rtl w:val="0"/>
        </w:rPr>
        <w:t xml:space="preserve">Long-term objectives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12" w:lineRule="auto"/>
        <w:ind w:left="72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Integrate predictive analytics into ERP systems for dynamic inventory replenishment by Q3 2025.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12" w:lineRule="auto"/>
        <w:ind w:left="720"/>
      </w:pPr>
      <w:r w:rsidDel="00000000" w:rsidR="00000000" w:rsidRPr="00000000">
        <w:rPr>
          <w:b w:val="1"/>
          <w:rtl w:val="0"/>
        </w:rPr>
        <w:t xml:space="preserve">Supplier Collaboration:</w:t>
      </w:r>
      <w:r w:rsidDel="00000000" w:rsidR="00000000" w:rsidRPr="00000000">
        <w:rPr>
          <w:rtl w:val="0"/>
        </w:rPr>
        <w:t xml:space="preserve"> Establish KPIs with top suppliers (e.g., defect rate &lt;1.5%, on-time delivery &gt;95%) by 2026.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12" w:lineRule="auto"/>
        <w:ind w:left="720"/>
      </w:pPr>
      <w:r w:rsidDel="00000000" w:rsidR="00000000" w:rsidRPr="00000000">
        <w:rPr>
          <w:b w:val="1"/>
          <w:rtl w:val="0"/>
        </w:rPr>
        <w:t xml:space="preserve">Sustainability:</w:t>
      </w:r>
      <w:r w:rsidDel="00000000" w:rsidR="00000000" w:rsidRPr="00000000">
        <w:rPr>
          <w:rtl w:val="0"/>
        </w:rPr>
        <w:t xml:space="preserve"> Reduce carbon footprint by 30% by optimizing transportation routes (e.g., rail over air).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xckpecvjoys" w:id="10"/>
      <w:bookmarkEnd w:id="10"/>
      <w:r w:rsidDel="00000000" w:rsidR="00000000" w:rsidRPr="00000000">
        <w:rPr>
          <w:rtl w:val="0"/>
        </w:rPr>
        <w:t xml:space="preserve">Roadmap alignment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1690.0000000000002"/>
        <w:gridCol w:w="3495"/>
        <w:tblGridChange w:id="0">
          <w:tblGrid>
            <w:gridCol w:w="3495"/>
            <w:gridCol w:w="1690.0000000000002"/>
            <w:gridCol w:w="3495"/>
          </w:tblGrid>
        </w:tblGridChange>
      </w:tblGrid>
      <w:tr>
        <w:trPr>
          <w:cantSplit w:val="0"/>
          <w:trHeight w:val="439.11999999999773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Timeline</w:t>
              <w:tab/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Diagnostic 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 cost/revenue drivers (e.g., skincare contributes 45% of revenue).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Predictive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 demand forecasting for inventory.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LP-based shipping cost reduction.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Continuous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2026+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Real-time dashboards for defect/lead time tracking.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3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nton">
    <w:embedRegular w:fontKey="{00000000-0000-0000-0000-000000000000}" r:id="rId1" w:subsetted="0"/>
  </w:font>
  <w:font w:name="DM Sans Black">
    <w:embedBold w:fontKey="{00000000-0000-0000-0000-000000000000}" r:id="rId2" w:subsetted="0"/>
    <w:embedBoldItalic w:fontKey="{00000000-0000-0000-0000-000000000000}" r:id="rId3" w:subsetted="0"/>
  </w:font>
  <w:font w:name="DM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→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M Sans" w:cs="DM Sans" w:eastAsia="DM Sans" w:hAnsi="DM Sans"/>
        <w:sz w:val="28"/>
        <w:szCs w:val="28"/>
        <w:lang w:val="en"/>
      </w:rPr>
    </w:rPrDefault>
    <w:pPrDefault>
      <w:pPr>
        <w:spacing w:line="276" w:lineRule="auto"/>
        <w:ind w:right="63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167.99999999999997" w:lineRule="auto"/>
    </w:pPr>
    <w:rPr>
      <w:rFonts w:ascii="Anton" w:cs="Anton" w:eastAsia="Anton" w:hAnsi="Anton"/>
      <w:color w:val="000000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-7.5" w:right="1290" w:firstLine="0"/>
    </w:pPr>
    <w:rPr>
      <w:b w:val="1"/>
      <w:color w:val="000000"/>
      <w:sz w:val="72"/>
      <w:szCs w:val="72"/>
    </w:rPr>
  </w:style>
  <w:style w:type="paragraph" w:styleId="Heading3">
    <w:name w:val="heading 3"/>
    <w:basedOn w:val="Normal"/>
    <w:next w:val="Normal"/>
    <w:pPr>
      <w:keepNext w:val="1"/>
      <w:keepLines w:val="1"/>
      <w:spacing w:line="192.00000000000003" w:lineRule="auto"/>
      <w:ind w:left="-7.5" w:right="1290" w:firstLine="0"/>
    </w:pPr>
    <w:rPr>
      <w:b w:val="1"/>
      <w:sz w:val="96"/>
      <w:szCs w:val="96"/>
    </w:rPr>
  </w:style>
  <w:style w:type="paragraph" w:styleId="Heading4">
    <w:name w:val="heading 4"/>
    <w:basedOn w:val="Normal"/>
    <w:next w:val="Normal"/>
    <w:pPr>
      <w:keepNext w:val="1"/>
      <w:keepLines w:val="1"/>
      <w:spacing w:line="312" w:lineRule="auto"/>
    </w:pPr>
    <w:rPr>
      <w:sz w:val="48"/>
      <w:szCs w:val="48"/>
    </w:rPr>
  </w:style>
  <w:style w:type="paragraph" w:styleId="Heading5">
    <w:name w:val="heading 5"/>
    <w:basedOn w:val="Normal"/>
    <w:next w:val="Normal"/>
    <w:pPr>
      <w:keepNext w:val="1"/>
      <w:keepLines w:val="1"/>
      <w:spacing w:line="216" w:lineRule="auto"/>
      <w:ind w:right="150"/>
    </w:pPr>
    <w:rPr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-7.5" w:right="1290" w:firstLine="0"/>
    </w:pPr>
    <w:rPr>
      <w:rFonts w:ascii="Anton" w:cs="Anton" w:eastAsia="Anton" w:hAnsi="Anton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line="167.99999999999997" w:lineRule="auto"/>
      <w:ind w:right="1290"/>
    </w:pPr>
    <w:rPr>
      <w:rFonts w:ascii="Anton" w:cs="Anton" w:eastAsia="Anton" w:hAnsi="Anton"/>
      <w:sz w:val="240"/>
      <w:szCs w:val="2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167.99999999999997" w:lineRule="auto"/>
      <w:ind w:left="-7.5" w:right="1290" w:firstLine="0"/>
    </w:pPr>
    <w:rPr>
      <w:rFonts w:ascii="Anton" w:cs="Anton" w:eastAsia="Anton" w:hAnsi="Anton"/>
      <w:sz w:val="200"/>
      <w:szCs w:val="2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MSansBlack-bold.ttf"/><Relationship Id="rId3" Type="http://schemas.openxmlformats.org/officeDocument/2006/relationships/font" Target="fonts/DMSansBlack-boldItalic.ttf"/><Relationship Id="rId4" Type="http://schemas.openxmlformats.org/officeDocument/2006/relationships/font" Target="fonts/DMSans-regular.ttf"/><Relationship Id="rId5" Type="http://schemas.openxmlformats.org/officeDocument/2006/relationships/font" Target="fonts/DMSans-bold.ttf"/><Relationship Id="rId6" Type="http://schemas.openxmlformats.org/officeDocument/2006/relationships/font" Target="fonts/DMSans-italic.ttf"/><Relationship Id="rId7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