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CA" w:rsidRPr="00B978DF" w:rsidRDefault="00B978DF" w:rsidP="00B978DF">
      <w:pPr>
        <w:pStyle w:val="Cmsor1"/>
        <w:rPr>
          <w:rFonts w:eastAsia="Times New Roman"/>
          <w:lang w:eastAsia="hu-HU"/>
        </w:rPr>
      </w:pPr>
      <w:r w:rsidRPr="00B978DF">
        <w:rPr>
          <w:rFonts w:eastAsia="Times New Roman"/>
          <w:lang w:eastAsia="hu-HU"/>
        </w:rPr>
        <w:t>12. Tétel</w:t>
      </w:r>
    </w:p>
    <w:p w:rsidR="00B978DF" w:rsidRPr="00B978DF" w:rsidRDefault="00B978DF" w:rsidP="00B978DF">
      <w:pPr>
        <w:pStyle w:val="Ttellers"/>
        <w:rPr>
          <w:lang w:eastAsia="hu-HU"/>
        </w:rPr>
      </w:pPr>
      <w:r w:rsidRPr="00B978DF">
        <w:rPr>
          <w:lang w:eastAsia="hu-HU"/>
        </w:rPr>
        <w:t>Nemlinearitások: kotyogás, érzéketlenségi sáv, telítődés. Az elintegrálódás és kiküszöbölése. A FOXBOR</w:t>
      </w:r>
      <w:bookmarkStart w:id="0" w:name="_GoBack"/>
      <w:bookmarkEnd w:id="0"/>
      <w:r w:rsidRPr="00B978DF">
        <w:rPr>
          <w:lang w:eastAsia="hu-HU"/>
        </w:rPr>
        <w:t>O szabályozó</w:t>
      </w:r>
    </w:p>
    <w:p w:rsidR="00B978DF" w:rsidRPr="00B978DF" w:rsidRDefault="00B978DF" w:rsidP="00B978DF">
      <w:pPr>
        <w:pStyle w:val="Cmsor2"/>
        <w:rPr>
          <w:lang w:eastAsia="hu-HU"/>
        </w:rPr>
      </w:pPr>
      <w:r w:rsidRPr="00B978DF">
        <w:rPr>
          <w:lang w:eastAsia="hu-HU"/>
        </w:rPr>
        <w:t>Nemlinearitások</w:t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t>Kotyogás</w:t>
      </w:r>
    </w:p>
    <w:p w:rsidR="00B978DF" w:rsidRPr="00B978DF" w:rsidRDefault="00B978DF" w:rsidP="00B978DF">
      <w:pPr>
        <w:numPr>
          <w:ilvl w:val="0"/>
          <w:numId w:val="2"/>
        </w:numPr>
        <w:rPr>
          <w:lang w:eastAsia="hu-HU"/>
        </w:rPr>
      </w:pPr>
      <w:r w:rsidRPr="00B978DF">
        <w:rPr>
          <w:lang w:eastAsia="hu-HU"/>
        </w:rPr>
        <w:t>Kotyogás (backlash) / holtjáték</w:t>
      </w:r>
    </w:p>
    <w:p w:rsidR="00B978DF" w:rsidRPr="00B978DF" w:rsidRDefault="00B978DF" w:rsidP="00B978DF">
      <w:pPr>
        <w:jc w:val="center"/>
        <w:rPr>
          <w:lang w:eastAsia="hu-HU"/>
        </w:rPr>
      </w:pPr>
      <w:r w:rsidRPr="00B978DF">
        <w:rPr>
          <w:lang w:eastAsia="hu-HU"/>
        </w:rPr>
        <w:drawing>
          <wp:inline distT="0" distB="0" distL="0" distR="0">
            <wp:extent cx="1690226" cy="1266634"/>
            <wp:effectExtent l="0" t="0" r="5715" b="0"/>
            <wp:docPr id="105" name="Kép 105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85" cy="12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Pr="00B978DF" w:rsidRDefault="00B978DF" w:rsidP="00B978DF">
      <w:pPr>
        <w:pStyle w:val="Listaszerbekezds"/>
        <w:numPr>
          <w:ilvl w:val="0"/>
          <w:numId w:val="7"/>
        </w:numPr>
        <w:rPr>
          <w:lang w:eastAsia="hu-HU"/>
        </w:rPr>
      </w:pPr>
      <w:r w:rsidRPr="00B978DF">
        <w:rPr>
          <w:lang w:eastAsia="hu-HU"/>
        </w:rPr>
        <w:t>Okozója: mechanikai áttét tökéletlensége</w:t>
      </w:r>
    </w:p>
    <w:p w:rsidR="00B978DF" w:rsidRPr="00B978DF" w:rsidRDefault="00B978DF" w:rsidP="00B978DF">
      <w:pPr>
        <w:pStyle w:val="Listaszerbekezds"/>
        <w:numPr>
          <w:ilvl w:val="0"/>
          <w:numId w:val="7"/>
        </w:numPr>
        <w:rPr>
          <w:lang w:eastAsia="hu-HU"/>
        </w:rPr>
      </w:pPr>
      <w:r w:rsidRPr="00B978DF">
        <w:rPr>
          <w:lang w:eastAsia="hu-HU"/>
        </w:rPr>
        <w:t>Statikus hibát okoz még akkor is, ha a lineáris szabályozás egyébként zérus maradandó hibára szabályozna</w:t>
      </w:r>
    </w:p>
    <w:p w:rsidR="00B978DF" w:rsidRPr="00B978DF" w:rsidRDefault="00B978DF" w:rsidP="00B978DF">
      <w:pPr>
        <w:pStyle w:val="Listaszerbekezds"/>
        <w:numPr>
          <w:ilvl w:val="0"/>
          <w:numId w:val="7"/>
        </w:numPr>
        <w:rPr>
          <w:lang w:eastAsia="hu-HU"/>
        </w:rPr>
      </w:pPr>
      <w:r w:rsidRPr="00B978DF">
        <w:rPr>
          <w:lang w:eastAsia="hu-HU"/>
        </w:rPr>
        <w:t>Megoldás:</w:t>
      </w:r>
    </w:p>
    <w:p w:rsidR="00B978DF" w:rsidRPr="00B978DF" w:rsidRDefault="00B978DF" w:rsidP="00B978DF">
      <w:pPr>
        <w:pStyle w:val="Listaszerbekezds"/>
        <w:numPr>
          <w:ilvl w:val="1"/>
          <w:numId w:val="7"/>
        </w:numPr>
        <w:rPr>
          <w:lang w:eastAsia="hu-HU"/>
        </w:rPr>
      </w:pPr>
      <w:r w:rsidRPr="00B978DF">
        <w:rPr>
          <w:lang w:eastAsia="hu-HU"/>
        </w:rPr>
        <w:t>Hullámhajtómű (modern eszközökben van elterjedőben)</w:t>
      </w:r>
    </w:p>
    <w:p w:rsidR="00B978DF" w:rsidRPr="00B978DF" w:rsidRDefault="00B978DF" w:rsidP="00B978DF">
      <w:pPr>
        <w:jc w:val="center"/>
        <w:rPr>
          <w:lang w:eastAsia="hu-HU"/>
        </w:rPr>
      </w:pPr>
      <w:r w:rsidRPr="00B978DF">
        <w:rPr>
          <w:lang w:eastAsia="hu-HU"/>
        </w:rPr>
        <w:drawing>
          <wp:inline distT="0" distB="0" distL="0" distR="0">
            <wp:extent cx="2919933" cy="1658684"/>
            <wp:effectExtent l="0" t="0" r="0" b="0"/>
            <wp:docPr id="104" name="Kép 104" descr="Hullámgenerátor &#10;(bemenet) &#10;Hullámkerék (z2) &#10;(kimenet) &#10;Gyürükerék (ZI) &#10;(ál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ullámgenerátor &#10;(bemenet) &#10;Hullámkerék (z2) &#10;(kimenet) &#10;Gyürükerék (ZI) &#10;(áll)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66" cy="16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t>Érzéketlenségi sáv (dead zone) / holtsáv</w:t>
      </w:r>
    </w:p>
    <w:p w:rsidR="00B978DF" w:rsidRPr="00B978DF" w:rsidRDefault="00B978DF" w:rsidP="00B978DF">
      <w:pPr>
        <w:numPr>
          <w:ilvl w:val="0"/>
          <w:numId w:val="3"/>
        </w:numPr>
        <w:rPr>
          <w:lang w:eastAsia="hu-HU"/>
        </w:rPr>
      </w:pPr>
      <w:r w:rsidRPr="00B978DF">
        <w:rPr>
          <w:lang w:eastAsia="hu-HU"/>
        </w:rPr>
        <w:t>Legtöbször a súrlódásnak köszönhető, teljes mértékben nem lehet kiküszöbölni</w:t>
      </w:r>
    </w:p>
    <w:p w:rsidR="00B978DF" w:rsidRPr="00B978DF" w:rsidRDefault="00B978DF" w:rsidP="00B978DF">
      <w:pPr>
        <w:numPr>
          <w:ilvl w:val="0"/>
          <w:numId w:val="3"/>
        </w:numPr>
        <w:rPr>
          <w:lang w:eastAsia="hu-HU"/>
        </w:rPr>
      </w:pPr>
      <w:r w:rsidRPr="00B978DF">
        <w:rPr>
          <w:lang w:eastAsia="hu-HU"/>
        </w:rPr>
        <w:t>A nyugalmi és a mozgási surlódás különbözősége miatt a motor indulása és megállása hiszterézises</w:t>
      </w:r>
    </w:p>
    <w:p w:rsidR="00B978DF" w:rsidRPr="00B978DF" w:rsidRDefault="00B978DF" w:rsidP="00B978DF">
      <w:pPr>
        <w:jc w:val="center"/>
        <w:rPr>
          <w:lang w:eastAsia="hu-HU"/>
        </w:rPr>
      </w:pPr>
      <w:r w:rsidRPr="00B978DF">
        <w:rPr>
          <w:lang w:eastAsia="hu-HU"/>
        </w:rPr>
        <w:drawing>
          <wp:inline distT="0" distB="0" distL="0" distR="0">
            <wp:extent cx="1587378" cy="1452282"/>
            <wp:effectExtent l="0" t="0" r="0" b="0"/>
            <wp:docPr id="103" name="Kép 103" descr="C:\Users\asarpi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asarpi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02" cy="14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Pr="00B978DF" w:rsidRDefault="00B978DF" w:rsidP="00B978DF">
      <w:pPr>
        <w:pStyle w:val="Listaszerbekezds"/>
        <w:numPr>
          <w:ilvl w:val="0"/>
          <w:numId w:val="8"/>
        </w:numPr>
        <w:rPr>
          <w:lang w:eastAsia="hu-HU"/>
        </w:rPr>
      </w:pPr>
      <w:r w:rsidRPr="00B978DF">
        <w:rPr>
          <w:lang w:eastAsia="hu-HU"/>
        </w:rPr>
        <w:t>Csökkentésének lehetőségei:</w:t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Kis súrlódású mechanikai áttétel</w:t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Kefe nélküli motorok</w:t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Sebesség visszacsatolás (tachométer)</w:t>
      </w:r>
    </w:p>
    <w:p w:rsidR="00B978DF" w:rsidRPr="00B978DF" w:rsidRDefault="00B978DF" w:rsidP="00B978DF">
      <w:pPr>
        <w:jc w:val="center"/>
        <w:rPr>
          <w:lang w:eastAsia="hu-HU"/>
        </w:rPr>
      </w:pPr>
      <w:r w:rsidRPr="00B978DF">
        <w:rPr>
          <w:lang w:eastAsia="hu-HU"/>
        </w:rPr>
        <w:drawing>
          <wp:inline distT="0" distB="0" distL="0" distR="0">
            <wp:extent cx="2543415" cy="876418"/>
            <wp:effectExtent l="0" t="0" r="0" b="0"/>
            <wp:docPr id="102" name="Kép 102" descr="1 +AMTD &#10;s(1+STM) &#10;ST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1 +AMTD &#10;s(1+STM) &#10;STD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48" cy="88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Pr="00B978DF" w:rsidRDefault="00B978DF" w:rsidP="00B978DF">
      <w:pPr>
        <w:pStyle w:val="Listaszerbekezds"/>
        <w:numPr>
          <w:ilvl w:val="2"/>
          <w:numId w:val="8"/>
        </w:numPr>
        <w:rPr>
          <w:lang w:eastAsia="hu-HU"/>
        </w:rPr>
      </w:pPr>
      <w:r w:rsidRPr="00B978DF">
        <w:rPr>
          <w:lang w:eastAsia="hu-HU"/>
        </w:rPr>
        <w:t>A motor integráló marad</w:t>
      </w:r>
    </w:p>
    <w:p w:rsidR="00B978DF" w:rsidRPr="00B978DF" w:rsidRDefault="00B978DF" w:rsidP="00B978DF">
      <w:pPr>
        <w:pStyle w:val="Listaszerbekezds"/>
        <w:numPr>
          <w:ilvl w:val="2"/>
          <w:numId w:val="8"/>
        </w:numPr>
        <w:rPr>
          <w:lang w:eastAsia="hu-HU"/>
        </w:rPr>
      </w:pPr>
      <w:r w:rsidRPr="00B978DF">
        <w:rPr>
          <w:lang w:eastAsia="hu-HU"/>
        </w:rPr>
        <w:lastRenderedPageBreak/>
        <w:t>Időállandója lecsökken</w:t>
      </w:r>
    </w:p>
    <w:p w:rsidR="00B978DF" w:rsidRPr="00B978DF" w:rsidRDefault="00B978DF" w:rsidP="00B978DF">
      <w:pPr>
        <w:pStyle w:val="Listaszerbekezds"/>
        <w:numPr>
          <w:ilvl w:val="2"/>
          <w:numId w:val="8"/>
        </w:numPr>
        <w:rPr>
          <w:lang w:eastAsia="hu-HU"/>
        </w:rPr>
      </w:pPr>
      <w:r w:rsidRPr="00B978DF">
        <w:rPr>
          <w:lang w:eastAsia="hu-HU"/>
        </w:rPr>
        <w:t>Átviteli tényezője lecsökken</w:t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Pozíció visszacsatolás</w:t>
      </w:r>
    </w:p>
    <w:p w:rsidR="00B978DF" w:rsidRPr="00B978DF" w:rsidRDefault="00B978DF" w:rsidP="00B978DF">
      <w:pPr>
        <w:jc w:val="center"/>
        <w:rPr>
          <w:lang w:eastAsia="hu-HU"/>
        </w:rPr>
      </w:pPr>
      <w:r w:rsidRPr="00B978DF">
        <w:rPr>
          <w:lang w:eastAsia="hu-HU"/>
        </w:rPr>
        <w:drawing>
          <wp:inline distT="0" distB="0" distL="0" distR="0">
            <wp:extent cx="2889197" cy="1233527"/>
            <wp:effectExtent l="0" t="0" r="6985" b="5080"/>
            <wp:docPr id="101" name="Kép 101" descr="s(1+sTM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s(1+sTM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51" cy="124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Szoftveres kompenzálás inverz statikus nemlinearitás beiktatásával (előfeszítés/offset)</w:t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t>Telítődés (saturation) / korlátozás</w:t>
      </w:r>
    </w:p>
    <w:p w:rsidR="00B978DF" w:rsidRPr="00B978DF" w:rsidRDefault="00B978DF" w:rsidP="00B978DF">
      <w:pPr>
        <w:pStyle w:val="Listaszerbekezds"/>
        <w:numPr>
          <w:ilvl w:val="0"/>
          <w:numId w:val="8"/>
        </w:numPr>
        <w:rPr>
          <w:lang w:eastAsia="hu-HU"/>
        </w:rPr>
      </w:pPr>
      <w:r w:rsidRPr="00B978DF">
        <w:rPr>
          <w:lang w:eastAsia="hu-HU"/>
        </w:rPr>
        <w:t>Minden rendszerben előfordul</w:t>
      </w:r>
    </w:p>
    <w:p w:rsidR="00B978DF" w:rsidRPr="00B978DF" w:rsidRDefault="00B978DF" w:rsidP="00B978DF">
      <w:pPr>
        <w:pStyle w:val="Listaszerbekezds"/>
        <w:numPr>
          <w:ilvl w:val="0"/>
          <w:numId w:val="8"/>
        </w:numPr>
        <w:rPr>
          <w:lang w:eastAsia="hu-HU"/>
        </w:rPr>
      </w:pPr>
      <w:r w:rsidRPr="00B978DF">
        <w:rPr>
          <w:lang w:eastAsia="hu-HU"/>
        </w:rPr>
        <w:t>Tipikusan az átalakítóknál, konverzióknál, teljesítményerősítőknél jelenik meg</w:t>
      </w:r>
    </w:p>
    <w:p w:rsidR="00B978DF" w:rsidRPr="00B978DF" w:rsidRDefault="00B978DF" w:rsidP="00B978DF">
      <w:pPr>
        <w:pStyle w:val="Listaszerbekezds"/>
        <w:numPr>
          <w:ilvl w:val="0"/>
          <w:numId w:val="8"/>
        </w:numPr>
        <w:rPr>
          <w:lang w:eastAsia="hu-HU"/>
        </w:rPr>
      </w:pPr>
      <w:r w:rsidRPr="00B978DF">
        <w:rPr>
          <w:lang w:eastAsia="hu-HU"/>
        </w:rPr>
        <w:t>Hatása:</w:t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Szabályozó D hatása nem kellőképpen érvényesül</w:t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A rendszer a tervezettől eltérően viselkedik</w:t>
      </w:r>
    </w:p>
    <w:p w:rsidR="00B978DF" w:rsidRPr="00B978DF" w:rsidRDefault="00B978DF" w:rsidP="00B978DF">
      <w:pPr>
        <w:pStyle w:val="Listaszerbekezds"/>
        <w:numPr>
          <w:ilvl w:val="1"/>
          <w:numId w:val="8"/>
        </w:numPr>
        <w:rPr>
          <w:lang w:eastAsia="hu-HU"/>
        </w:rPr>
      </w:pPr>
      <w:r w:rsidRPr="00B978DF">
        <w:rPr>
          <w:lang w:eastAsia="hu-HU"/>
        </w:rPr>
        <w:t>Elintegrálódás következhet be</w:t>
      </w:r>
    </w:p>
    <w:p w:rsidR="00B978DF" w:rsidRPr="00B978DF" w:rsidRDefault="00B978DF" w:rsidP="00B978DF">
      <w:pPr>
        <w:pStyle w:val="Cmsor2"/>
        <w:rPr>
          <w:lang w:eastAsia="hu-HU"/>
        </w:rPr>
      </w:pPr>
      <w:r w:rsidRPr="00B978DF">
        <w:rPr>
          <w:lang w:eastAsia="hu-HU"/>
        </w:rPr>
        <w:t>Elintegrálódás (integratos wind-up)</w:t>
      </w: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t>Irányító jelben lévő többszörös ugrás, amit a kivezérlő elektronika nem tud leadni, biztosan levágásra kerül</w:t>
      </w:r>
    </w:p>
    <w:p w:rsidR="00B978DF" w:rsidRPr="00B978DF" w:rsidRDefault="00B978DF" w:rsidP="00B978DF">
      <w:pPr>
        <w:ind w:left="0"/>
        <w:rPr>
          <w:lang w:eastAsia="hu-HU"/>
        </w:rPr>
      </w:pPr>
      <w:r w:rsidRPr="00B978DF">
        <w:rPr>
          <w:rStyle w:val="Cmsor3Char"/>
          <w:lang w:eastAsia="hu-HU"/>
        </w:rPr>
        <w:t>Elintegrálódás mértéke</w:t>
      </w:r>
      <w:r w:rsidRPr="00B978DF">
        <w:rPr>
          <w:lang w:eastAsia="hu-HU"/>
        </w:rPr>
        <w:t>: a szoftver belsejében számított és a valójában megvalósítható jelek közötti különbségek maximuma</w:t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t>Hátránya:</w:t>
      </w:r>
    </w:p>
    <w:p w:rsidR="00B978DF" w:rsidRPr="00B978DF" w:rsidRDefault="00B978DF" w:rsidP="00B978DF">
      <w:pPr>
        <w:numPr>
          <w:ilvl w:val="0"/>
          <w:numId w:val="4"/>
        </w:numPr>
        <w:rPr>
          <w:lang w:eastAsia="hu-HU"/>
        </w:rPr>
      </w:pPr>
      <w:r w:rsidRPr="00B978DF">
        <w:rPr>
          <w:lang w:eastAsia="hu-HU"/>
        </w:rPr>
        <w:t>A korlátozás miatt a vezérlőj</w:t>
      </w:r>
      <w:r>
        <w:rPr>
          <w:lang w:eastAsia="hu-HU"/>
        </w:rPr>
        <w:t xml:space="preserve">elek nem tudnak érvényesülni </w:t>
      </w:r>
      <w:r>
        <w:rPr>
          <w:lang w:eastAsia="hu-HU"/>
        </w:rPr>
        <w:sym w:font="Wingdings" w:char="F0E0"/>
      </w:r>
      <w:r w:rsidRPr="00B978DF">
        <w:rPr>
          <w:lang w:eastAsia="hu-HU"/>
        </w:rPr>
        <w:t xml:space="preserve"> a rendszer nem úgy fog működni, ahogy elvárnánk</w:t>
      </w:r>
    </w:p>
    <w:p w:rsidR="00B978DF" w:rsidRPr="00B978DF" w:rsidRDefault="00B978DF" w:rsidP="00B978DF">
      <w:pPr>
        <w:numPr>
          <w:ilvl w:val="0"/>
          <w:numId w:val="4"/>
        </w:numPr>
        <w:rPr>
          <w:lang w:eastAsia="hu-HU"/>
        </w:rPr>
      </w:pPr>
      <w:r w:rsidRPr="00B978DF">
        <w:rPr>
          <w:lang w:eastAsia="hu-HU"/>
        </w:rPr>
        <w:t>Időkiesés (a kimenő jel csak akkor változik, ha az elintegrált állapotból visszaérkezik a vezérlőjel)</w:t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t>Megoldások:</w:t>
      </w:r>
    </w:p>
    <w:p w:rsidR="00B978DF" w:rsidRPr="00B978DF" w:rsidRDefault="00B978DF" w:rsidP="00B978DF">
      <w:pPr>
        <w:numPr>
          <w:ilvl w:val="0"/>
          <w:numId w:val="5"/>
        </w:numPr>
        <w:rPr>
          <w:lang w:eastAsia="hu-HU"/>
        </w:rPr>
      </w:pPr>
      <w:r w:rsidRPr="00B978DF">
        <w:rPr>
          <w:lang w:eastAsia="hu-HU"/>
        </w:rPr>
        <w:t>Anti-windup kapcsolások (több megoldás az irodalomban)</w:t>
      </w:r>
    </w:p>
    <w:p w:rsidR="00B978DF" w:rsidRPr="00B978DF" w:rsidRDefault="00B978DF" w:rsidP="00B978DF">
      <w:pPr>
        <w:numPr>
          <w:ilvl w:val="0"/>
          <w:numId w:val="5"/>
        </w:numPr>
        <w:rPr>
          <w:lang w:eastAsia="hu-HU"/>
        </w:rPr>
      </w:pPr>
      <w:r w:rsidRPr="00B978DF">
        <w:rPr>
          <w:lang w:eastAsia="hu-HU"/>
        </w:rPr>
        <w:t>Korlátozások összehangolása</w:t>
      </w:r>
    </w:p>
    <w:p w:rsidR="00B978DF" w:rsidRPr="00B978DF" w:rsidRDefault="00B978DF" w:rsidP="00B978DF">
      <w:pPr>
        <w:numPr>
          <w:ilvl w:val="1"/>
          <w:numId w:val="5"/>
        </w:numPr>
        <w:rPr>
          <w:lang w:eastAsia="hu-HU"/>
        </w:rPr>
      </w:pPr>
      <w:r w:rsidRPr="00B978DF">
        <w:rPr>
          <w:lang w:eastAsia="hu-HU"/>
        </w:rPr>
        <w:t>Meghatározni a körben levő korlátozások közül a meghatározót (legkisebbet)</w:t>
      </w:r>
    </w:p>
    <w:p w:rsidR="00B978DF" w:rsidRPr="00B978DF" w:rsidRDefault="00B978DF" w:rsidP="00B978DF">
      <w:pPr>
        <w:numPr>
          <w:ilvl w:val="1"/>
          <w:numId w:val="5"/>
        </w:numPr>
        <w:rPr>
          <w:lang w:eastAsia="hu-HU"/>
        </w:rPr>
      </w:pPr>
      <w:r w:rsidRPr="00B978DF">
        <w:rPr>
          <w:lang w:eastAsia="hu-HU"/>
        </w:rPr>
        <w:t>Szabályozón belül is reprezentálni</w:t>
      </w:r>
    </w:p>
    <w:p w:rsidR="00B978DF" w:rsidRPr="00B978DF" w:rsidRDefault="00B978DF" w:rsidP="00B978DF">
      <w:pPr>
        <w:numPr>
          <w:ilvl w:val="1"/>
          <w:numId w:val="5"/>
        </w:numPr>
        <w:rPr>
          <w:lang w:eastAsia="hu-HU"/>
        </w:rPr>
      </w:pPr>
      <w:r w:rsidRPr="00B978DF">
        <w:rPr>
          <w:lang w:eastAsia="hu-HU"/>
        </w:rPr>
        <w:t>A vezérlőjelet a sávon belül kell tartani</w:t>
      </w:r>
    </w:p>
    <w:p w:rsidR="00B978DF" w:rsidRPr="00B978DF" w:rsidRDefault="00B978DF" w:rsidP="00B978DF">
      <w:pPr>
        <w:pStyle w:val="Cmsor2"/>
        <w:rPr>
          <w:lang w:eastAsia="hu-HU"/>
        </w:rPr>
      </w:pPr>
      <w:r w:rsidRPr="00B978DF">
        <w:rPr>
          <w:lang w:eastAsia="hu-HU"/>
        </w:rPr>
        <w:t>FOXBORO szabályozó</w:t>
      </w: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t>FOXBORO pneumatikai cég az USA-ban. Pneumatikus rendszerekben nehezen realizálható a negatív visszacsatolás, ezért a pozitívval oldották meg a problémát</w:t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t>Pozitív PI szabályozó</w:t>
      </w: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drawing>
          <wp:inline distT="0" distB="0" distL="0" distR="0">
            <wp:extent cx="4572000" cy="1590675"/>
            <wp:effectExtent l="0" t="0" r="0" b="9525"/>
            <wp:docPr id="109" name="Kép 109" descr="Számítógép által létrehozott helyettesítő szöveg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Számítógép által létrehozott helyettesítő szöveg: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lastRenderedPageBreak/>
        <w:t>A szabályozó átviteli függvénye</w:t>
      </w: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drawing>
          <wp:inline distT="0" distB="0" distL="0" distR="0">
            <wp:extent cx="3273425" cy="1006475"/>
            <wp:effectExtent l="0" t="0" r="3175" b="3175"/>
            <wp:docPr id="108" name="Kép 108" descr="Számítógép által létrehozott helyettesítő szöveg:&#10;1 &#10;kc &#10;1 &#10;1 &#10;1+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Számítógép által létrehozott helyettesítő szöveg:&#10;1 &#10;kc &#10;1 &#10;1 &#10;1+s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Pr="00B978DF" w:rsidRDefault="00B978DF" w:rsidP="00B978DF">
      <w:pPr>
        <w:pStyle w:val="Cmsor3"/>
        <w:rPr>
          <w:lang w:eastAsia="hu-HU"/>
        </w:rPr>
      </w:pPr>
      <w:r w:rsidRPr="00B978DF">
        <w:rPr>
          <w:lang w:eastAsia="hu-HU"/>
        </w:rPr>
        <w:t>Eredmény:</w:t>
      </w:r>
    </w:p>
    <w:p w:rsidR="00B978DF" w:rsidRPr="00B978DF" w:rsidRDefault="00B978DF" w:rsidP="00B978DF">
      <w:pPr>
        <w:numPr>
          <w:ilvl w:val="0"/>
          <w:numId w:val="6"/>
        </w:numPr>
        <w:rPr>
          <w:lang w:eastAsia="hu-HU"/>
        </w:rPr>
      </w:pPr>
      <w:r w:rsidRPr="00B978DF">
        <w:rPr>
          <w:lang w:eastAsia="hu-HU"/>
        </w:rPr>
        <w:t>Szabályozási idő közel azonos a korlátozás nélküli elméleti modellével</w:t>
      </w:r>
    </w:p>
    <w:p w:rsidR="00B978DF" w:rsidRPr="00B978DF" w:rsidRDefault="00B978DF" w:rsidP="00B978DF">
      <w:pPr>
        <w:numPr>
          <w:ilvl w:val="0"/>
          <w:numId w:val="6"/>
        </w:numPr>
        <w:rPr>
          <w:lang w:eastAsia="hu-HU"/>
        </w:rPr>
      </w:pPr>
      <w:r w:rsidRPr="00B978DF">
        <w:rPr>
          <w:lang w:eastAsia="hu-HU"/>
        </w:rPr>
        <w:t>A szabályozott jellemző túllendülése jóval kisebb, mert nincs időkiesés</w:t>
      </w: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t> </w:t>
      </w:r>
    </w:p>
    <w:p w:rsidR="00B978DF" w:rsidRPr="00B978DF" w:rsidRDefault="00B978DF" w:rsidP="00B978DF">
      <w:pPr>
        <w:rPr>
          <w:lang w:eastAsia="hu-HU"/>
        </w:rPr>
      </w:pP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t> </w:t>
      </w: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t> </w:t>
      </w:r>
    </w:p>
    <w:p w:rsidR="00B978DF" w:rsidRPr="00B978DF" w:rsidRDefault="00B978DF" w:rsidP="00B978DF">
      <w:pPr>
        <w:rPr>
          <w:lang w:eastAsia="hu-HU"/>
        </w:rPr>
      </w:pPr>
      <w:r w:rsidRPr="00B978DF">
        <w:rPr>
          <w:lang w:eastAsia="hu-HU"/>
        </w:rPr>
        <w:t> </w:t>
      </w:r>
    </w:p>
    <w:p w:rsidR="00B978DF" w:rsidRPr="00B978DF" w:rsidRDefault="00B978DF" w:rsidP="00B978DF">
      <w:pPr>
        <w:rPr>
          <w:lang w:eastAsia="hu-HU"/>
        </w:rPr>
      </w:pPr>
    </w:p>
    <w:p w:rsidR="005464CA" w:rsidRPr="00B978DF" w:rsidRDefault="005464CA" w:rsidP="00B978DF"/>
    <w:sectPr w:rsidR="005464CA" w:rsidRPr="00B978DF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75A"/>
    <w:multiLevelType w:val="hybridMultilevel"/>
    <w:tmpl w:val="FBE06F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7066"/>
    <w:multiLevelType w:val="hybridMultilevel"/>
    <w:tmpl w:val="973EBF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B55A6"/>
    <w:multiLevelType w:val="multilevel"/>
    <w:tmpl w:val="0C54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612CC"/>
    <w:multiLevelType w:val="multilevel"/>
    <w:tmpl w:val="AF30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04F3E"/>
    <w:multiLevelType w:val="multilevel"/>
    <w:tmpl w:val="973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502455"/>
    <w:multiLevelType w:val="multilevel"/>
    <w:tmpl w:val="042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  <w:lvlOverride w:ilvl="1"/>
    <w:lvlOverride w:ilvl="2">
      <w:startOverride w:val="1"/>
    </w:lvlOverride>
  </w:num>
  <w:num w:numId="3">
    <w:abstractNumId w:val="3"/>
    <w:lvlOverride w:ilvl="1"/>
    <w:lvlOverride w:ilvl="2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26F7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040ED"/>
    <w:rsid w:val="00312DD1"/>
    <w:rsid w:val="003158F5"/>
    <w:rsid w:val="003261E2"/>
    <w:rsid w:val="003368F9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1069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978DF"/>
    <w:rsid w:val="00BA43A6"/>
    <w:rsid w:val="00BB3193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F1EBC-3F37-4FBB-B3E9-4E248DC8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2017-06-18T14:45:00Z</dcterms:created>
  <dcterms:modified xsi:type="dcterms:W3CDTF">2017-06-18T14:52:00Z</dcterms:modified>
</cp:coreProperties>
</file>