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900"/>
        <w:jc w:val="center"/>
      </w:pPr>
      <w:r>
        <w:rPr>
          <w:rFonts w:ascii="Arial" w:cs="Arial" w:eastAsia="Arial" w:hAnsi="Arial"/>
          <w:b/>
          <w:bCs/>
          <w:color w:val="12304A"/>
          <w:sz w:val="42"/>
          <w:szCs w:val="42"/>
        </w:rPr>
        <w:t xml:space="preserve">Facilitator Guide</w:t>
      </w:r>
    </w:p>
    <w:p>
      <w:pPr>
        <w:spacing w:after="700"/>
        <w:jc w:val="center"/>
      </w:pPr>
      <w:r>
        <w:rPr>
          <w:rFonts w:ascii="Arial" w:cs="Arial" w:eastAsia="Arial" w:hAnsi="Arial"/>
          <w:i/>
          <w:iCs/>
          <w:color w:val="008A8A"/>
          <w:sz w:val="24"/>
          <w:szCs w:val="24"/>
        </w:rPr>
        <w:t xml:space="preserve">21 Julai 2026 (Selasa) · 10.00 pagi – 11.00 pagi · PM Dr. Mohd Murtadha Mohamad</w:t>
      </w:r>
    </w:p>
    <w:p>
      <w:pPr>
        <w:pStyle w:val="Heading1"/>
      </w:pPr>
      <w:r>
        <w:t xml:space="preserve">Session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Memanfaatkan Agentic AI untuk Meningkatkan Produktiviti Harian</w:t>
      </w:r>
    </w:p>
    <w:p>
      <w:pPr>
        <w:pStyle w:val="Heading1"/>
      </w:pPr>
      <w:r>
        <w:t xml:space="preserve">Purpose and approach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Help participants recognise practical daily-productivity opportunities for Agentic AI, design a reusable assistant, and build and test it in Gemini Gems. The full agenda requires 120 minutes; the advertised 10.00–11.00 pagi slot must be extended or compressed before distribution.</w:t>
      </w:r>
    </w:p>
    <w:p>
      <w:pPr>
        <w:pStyle w:val="Heading1"/>
      </w:pPr>
      <w:r>
        <w:t xml:space="preserve">Before the session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Rehearse the Meeting Action Assistant using live-demo-runbook.md.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Confirm Gemini Gems using a participant-level personal Google account.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Prepare the synthetic meeting notes, test cases, and standard-chat fallback.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Print or distribute the participant workbook and agent-design template.</w:t>
      </w:r>
    </w:p>
    <w:p>
      <w:pPr>
        <w:pStyle w:val="Heading1"/>
      </w:pPr>
      <w:r>
        <w:t xml:space="preserve">Suggested agenda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906"/>
        <w:gridCol w:w="3000"/>
      </w:tblGrid>
      <w:tr>
        <w:tc>
          <w:tcPr>
            <w:tcW w:type="dxa" w:w="18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1230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906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1230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0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1230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18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0–10</w:t>
            </w:r>
          </w:p>
        </w:tc>
        <w:tc>
          <w:tcPr>
            <w:tcW w:type="dxa" w:w="4906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What repetitive task would you delegate?</w:t>
            </w:r>
          </w:p>
        </w:tc>
        <w:tc>
          <w:tcPr>
            <w:tcW w:type="dxa" w:w="30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Opening activity</w:t>
            </w:r>
          </w:p>
        </w:tc>
      </w:tr>
      <w:tr>
        <w:tc>
          <w:tcPr>
            <w:tcW w:type="dxa" w:w="18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10–25</w:t>
            </w:r>
          </w:p>
        </w:tc>
        <w:tc>
          <w:tcPr>
            <w:tcW w:type="dxa" w:w="4906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AI assistants vs agentic AI</w:t>
            </w:r>
          </w:p>
        </w:tc>
        <w:tc>
          <w:tcPr>
            <w:tcW w:type="dxa" w:w="30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Workplace examples</w:t>
            </w:r>
          </w:p>
        </w:tc>
      </w:tr>
      <w:tr>
        <w:tc>
          <w:tcPr>
            <w:tcW w:type="dxa" w:w="18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25–40</w:t>
            </w:r>
          </w:p>
        </w:tc>
        <w:tc>
          <w:tcPr>
            <w:tcW w:type="dxa" w:w="4906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Turn a vague request into a workflow</w:t>
            </w:r>
          </w:p>
        </w:tc>
        <w:tc>
          <w:tcPr>
            <w:tcW w:type="dxa" w:w="30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Live demonstration</w:t>
            </w:r>
          </w:p>
        </w:tc>
      </w:tr>
      <w:tr>
        <w:tc>
          <w:tcPr>
            <w:tcW w:type="dxa" w:w="18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40–65</w:t>
            </w:r>
          </w:p>
        </w:tc>
        <w:tc>
          <w:tcPr>
            <w:tcW w:type="dxa" w:w="4906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Design an AI assistant</w:t>
            </w:r>
          </w:p>
        </w:tc>
        <w:tc>
          <w:tcPr>
            <w:tcW w:type="dxa" w:w="30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Hands-on 1</w:t>
            </w:r>
          </w:p>
        </w:tc>
      </w:tr>
      <w:tr>
        <w:tc>
          <w:tcPr>
            <w:tcW w:type="dxa" w:w="18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65–75</w:t>
            </w:r>
          </w:p>
        </w:tc>
        <w:tc>
          <w:tcPr>
            <w:tcW w:type="dxa" w:w="4906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Break and participant sharing</w:t>
            </w:r>
          </w:p>
        </w:tc>
        <w:tc>
          <w:tcPr>
            <w:tcW w:type="dxa" w:w="30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Break</w:t>
            </w:r>
          </w:p>
        </w:tc>
      </w:tr>
      <w:tr>
        <w:tc>
          <w:tcPr>
            <w:tcW w:type="dxa" w:w="18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75–100</w:t>
            </w:r>
          </w:p>
        </w:tc>
        <w:tc>
          <w:tcPr>
            <w:tcW w:type="dxa" w:w="4906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Build and test in Gemini Gems</w:t>
            </w:r>
          </w:p>
        </w:tc>
        <w:tc>
          <w:tcPr>
            <w:tcW w:type="dxa" w:w="30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Hands-on 2</w:t>
            </w:r>
          </w:p>
        </w:tc>
      </w:tr>
      <w:tr>
        <w:tc>
          <w:tcPr>
            <w:tcW w:type="dxa" w:w="18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100–112</w:t>
            </w:r>
          </w:p>
        </w:tc>
        <w:tc>
          <w:tcPr>
            <w:tcW w:type="dxa" w:w="4906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Test cases, reflection, human approval</w:t>
            </w:r>
          </w:p>
        </w:tc>
        <w:tc>
          <w:tcPr>
            <w:tcW w:type="dxa" w:w="30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18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112–120</w:t>
            </w:r>
          </w:p>
        </w:tc>
        <w:tc>
          <w:tcPr>
            <w:tcW w:type="dxa" w:w="4906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Responsible-use checklist and closing</w:t>
            </w:r>
          </w:p>
        </w:tc>
        <w:tc>
          <w:tcPr>
            <w:tcW w:type="dxa" w:w="30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Sharing</w:t>
            </w:r>
          </w:p>
        </w:tc>
      </w:tr>
    </w:tbl>
    <w:p>
      <w:pPr>
        <w:pStyle w:val="Heading1"/>
      </w:pPr>
      <w:r>
        <w:t xml:space="preserve">Facilitation cues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Ask for the user and measurable outcome before discussing tools.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Treat refusals, escalation, and safe stopping as successful behaviours.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Request evidence for claims about prototype performance.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Use the parking lot for platform-specific issues that would derail learning.</w:t>
      </w:r>
    </w:p>
    <w:sectPr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UTM Agentic AI Training  | 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1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230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08A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Facilitator Guide</dc:title>
  <dc:creator>UTM Agentic AI Training</dc:creator>
  <cp:lastModifiedBy>Un-named</cp:lastModifiedBy>
  <cp:revision>1</cp:revision>
  <dcterms:created xsi:type="dcterms:W3CDTF">2026-07-10T02:30:18.712Z</dcterms:created>
  <dcterms:modified xsi:type="dcterms:W3CDTF">2026-07-10T02:30:18.716Z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