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900"/>
        <w:jc w:val="center"/>
      </w:pPr>
      <w:r>
        <w:rPr>
          <w:rFonts w:ascii="Arial" w:cs="Arial" w:eastAsia="Arial" w:hAnsi="Arial"/>
          <w:b/>
          <w:bCs/>
          <w:color w:val="12304A"/>
          <w:sz w:val="42"/>
          <w:szCs w:val="42"/>
        </w:rPr>
        <w:t xml:space="preserve">Facilitator Guide</w:t>
      </w:r>
    </w:p>
    <w:p>
      <w:pPr>
        <w:spacing w:after="700"/>
        <w:jc w:val="center"/>
      </w:pPr>
      <w:r>
        <w:rPr>
          <w:rFonts w:ascii="Arial" w:cs="Arial" w:eastAsia="Arial" w:hAnsi="Arial"/>
          <w:i/>
          <w:iCs/>
          <w:color w:val="008A8A"/>
          <w:sz w:val="24"/>
          <w:szCs w:val="24"/>
        </w:rPr>
        <w:t xml:space="preserve">21 Julai 2026 (Selasa) · 10.00 pagi–12.00 tengah hari · PM Dr. Mohd Murtadha Mohamad</w:t>
      </w:r>
    </w:p>
    <w:p>
      <w:pPr>
        <w:pStyle w:val="Heading1"/>
      </w:pPr>
      <w:r>
        <w:t xml:space="preserve">Session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Memanfaatkan Agentic AI untuk Meningkatkan Produktiviti Harian</w:t>
      </w:r>
    </w:p>
    <w:p>
      <w:pPr>
        <w:pStyle w:val="Heading1"/>
      </w:pPr>
      <w:r>
        <w:t xml:space="preserve">Purpose and approach</w:t>
      </w:r>
    </w:p>
    <w:p>
      <w:pPr>
        <w:spacing w:after="140"/>
      </w:pPr>
      <w:r>
        <w:rPr>
          <w:rFonts w:ascii="Arial" w:cs="Arial" w:eastAsia="Arial" w:hAnsi="Arial"/>
          <w:sz w:val="22"/>
          <w:szCs w:val="22"/>
        </w:rPr>
        <w:t xml:space="preserve">Help participants recognise practical daily-productivity opportunities for Agentic AI, design a reusable assistant, and build and test it in Gemini Gems within the confirmed two-hour session.</w:t>
      </w:r>
    </w:p>
    <w:p>
      <w:pPr>
        <w:pStyle w:val="Heading1"/>
      </w:pPr>
      <w:r>
        <w:t xml:space="preserve">Before the session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Rehearse the Meeting Action Assistant using live-demo-runbook.md.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Confirm Gemini Gems using a participant-level personal Google account.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Prepare the synthetic meeting notes, test cases, and standard-chat fallback.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Print or distribute the participant workbook and agent-design template.</w:t>
      </w:r>
    </w:p>
    <w:p>
      <w:pPr>
        <w:pStyle w:val="Heading1"/>
      </w:pPr>
      <w:r>
        <w:t xml:space="preserve">Suggested agenda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906"/>
        <w:gridCol w:w="3000"/>
      </w:tblGrid>
      <w:tr>
        <w:tc>
          <w:tcPr>
            <w:tcW w:type="dxa" w:w="1800"/>
            <w:tcBorders>
              <w:top w:val="single" w:color="CAD3D8" w:sz="1"/>
              <w:left w:val="single" w:color="CAD3D8" w:sz="1"/>
              <w:bottom w:val="single" w:color="CAD3D8" w:sz="1"/>
              <w:right w:val="single" w:color="CAD3D8" w:sz="1"/>
            </w:tcBorders>
            <w:shd w:fill="1230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4906"/>
            <w:tcBorders>
              <w:top w:val="single" w:color="CAD3D8" w:sz="1"/>
              <w:left w:val="single" w:color="CAD3D8" w:sz="1"/>
              <w:bottom w:val="single" w:color="CAD3D8" w:sz="1"/>
              <w:right w:val="single" w:color="CAD3D8" w:sz="1"/>
            </w:tcBorders>
            <w:shd w:fill="1230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Segment</w:t>
            </w:r>
          </w:p>
        </w:tc>
        <w:tc>
          <w:tcPr>
            <w:tcW w:type="dxa" w:w="3000"/>
            <w:tcBorders>
              <w:top w:val="single" w:color="CAD3D8" w:sz="1"/>
              <w:left w:val="single" w:color="CAD3D8" w:sz="1"/>
              <w:bottom w:val="single" w:color="CAD3D8" w:sz="1"/>
              <w:right w:val="single" w:color="CAD3D8" w:sz="1"/>
            </w:tcBorders>
            <w:shd w:fill="12304A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Method</w:t>
            </w:r>
          </w:p>
        </w:tc>
      </w:tr>
      <w:tr>
        <w:tc>
          <w:tcPr>
            <w:tcW w:type="dxa" w:w="1800"/>
            <w:tcBorders>
              <w:top w:val="single" w:color="CAD3D8" w:sz="1"/>
              <w:left w:val="single" w:color="CAD3D8" w:sz="1"/>
              <w:bottom w:val="single" w:color="CAD3D8" w:sz="1"/>
              <w:right w:val="single" w:color="CAD3D8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7212B"/>
                <w:sz w:val="20"/>
                <w:szCs w:val="20"/>
              </w:rPr>
              <w:t xml:space="preserve">0–10</w:t>
            </w:r>
          </w:p>
        </w:tc>
        <w:tc>
          <w:tcPr>
            <w:tcW w:type="dxa" w:w="4906"/>
            <w:tcBorders>
              <w:top w:val="single" w:color="CAD3D8" w:sz="1"/>
              <w:left w:val="single" w:color="CAD3D8" w:sz="1"/>
              <w:bottom w:val="single" w:color="CAD3D8" w:sz="1"/>
              <w:right w:val="single" w:color="CAD3D8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7212B"/>
                <w:sz w:val="20"/>
                <w:szCs w:val="20"/>
              </w:rPr>
              <w:t xml:space="preserve">What repetitive task would you delegate?</w:t>
            </w:r>
          </w:p>
        </w:tc>
        <w:tc>
          <w:tcPr>
            <w:tcW w:type="dxa" w:w="3000"/>
            <w:tcBorders>
              <w:top w:val="single" w:color="CAD3D8" w:sz="1"/>
              <w:left w:val="single" w:color="CAD3D8" w:sz="1"/>
              <w:bottom w:val="single" w:color="CAD3D8" w:sz="1"/>
              <w:right w:val="single" w:color="CAD3D8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7212B"/>
                <w:sz w:val="20"/>
                <w:szCs w:val="20"/>
              </w:rPr>
              <w:t xml:space="preserve">Opening activity</w:t>
            </w:r>
          </w:p>
        </w:tc>
      </w:tr>
      <w:tr>
        <w:tc>
          <w:tcPr>
            <w:tcW w:type="dxa" w:w="1800"/>
            <w:tcBorders>
              <w:top w:val="single" w:color="CAD3D8" w:sz="1"/>
              <w:left w:val="single" w:color="CAD3D8" w:sz="1"/>
              <w:bottom w:val="single" w:color="CAD3D8" w:sz="1"/>
              <w:right w:val="single" w:color="CAD3D8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7212B"/>
                <w:sz w:val="20"/>
                <w:szCs w:val="20"/>
              </w:rPr>
              <w:t xml:space="preserve">10–25</w:t>
            </w:r>
          </w:p>
        </w:tc>
        <w:tc>
          <w:tcPr>
            <w:tcW w:type="dxa" w:w="4906"/>
            <w:tcBorders>
              <w:top w:val="single" w:color="CAD3D8" w:sz="1"/>
              <w:left w:val="single" w:color="CAD3D8" w:sz="1"/>
              <w:bottom w:val="single" w:color="CAD3D8" w:sz="1"/>
              <w:right w:val="single" w:color="CAD3D8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7212B"/>
                <w:sz w:val="20"/>
                <w:szCs w:val="20"/>
              </w:rPr>
              <w:t xml:space="preserve">AI assistants vs agentic AI</w:t>
            </w:r>
          </w:p>
        </w:tc>
        <w:tc>
          <w:tcPr>
            <w:tcW w:type="dxa" w:w="3000"/>
            <w:tcBorders>
              <w:top w:val="single" w:color="CAD3D8" w:sz="1"/>
              <w:left w:val="single" w:color="CAD3D8" w:sz="1"/>
              <w:bottom w:val="single" w:color="CAD3D8" w:sz="1"/>
              <w:right w:val="single" w:color="CAD3D8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7212B"/>
                <w:sz w:val="20"/>
                <w:szCs w:val="20"/>
              </w:rPr>
              <w:t xml:space="preserve">Workplace examples</w:t>
            </w:r>
          </w:p>
        </w:tc>
      </w:tr>
      <w:tr>
        <w:tc>
          <w:tcPr>
            <w:tcW w:type="dxa" w:w="1800"/>
            <w:tcBorders>
              <w:top w:val="single" w:color="CAD3D8" w:sz="1"/>
              <w:left w:val="single" w:color="CAD3D8" w:sz="1"/>
              <w:bottom w:val="single" w:color="CAD3D8" w:sz="1"/>
              <w:right w:val="single" w:color="CAD3D8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7212B"/>
                <w:sz w:val="20"/>
                <w:szCs w:val="20"/>
              </w:rPr>
              <w:t xml:space="preserve">25–40</w:t>
            </w:r>
          </w:p>
        </w:tc>
        <w:tc>
          <w:tcPr>
            <w:tcW w:type="dxa" w:w="4906"/>
            <w:tcBorders>
              <w:top w:val="single" w:color="CAD3D8" w:sz="1"/>
              <w:left w:val="single" w:color="CAD3D8" w:sz="1"/>
              <w:bottom w:val="single" w:color="CAD3D8" w:sz="1"/>
              <w:right w:val="single" w:color="CAD3D8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7212B"/>
                <w:sz w:val="20"/>
                <w:szCs w:val="20"/>
              </w:rPr>
              <w:t xml:space="preserve">Turn a vague request into a workflow</w:t>
            </w:r>
          </w:p>
        </w:tc>
        <w:tc>
          <w:tcPr>
            <w:tcW w:type="dxa" w:w="3000"/>
            <w:tcBorders>
              <w:top w:val="single" w:color="CAD3D8" w:sz="1"/>
              <w:left w:val="single" w:color="CAD3D8" w:sz="1"/>
              <w:bottom w:val="single" w:color="CAD3D8" w:sz="1"/>
              <w:right w:val="single" w:color="CAD3D8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7212B"/>
                <w:sz w:val="20"/>
                <w:szCs w:val="20"/>
              </w:rPr>
              <w:t xml:space="preserve">Live demonstration</w:t>
            </w:r>
          </w:p>
        </w:tc>
      </w:tr>
      <w:tr>
        <w:tc>
          <w:tcPr>
            <w:tcW w:type="dxa" w:w="1800"/>
            <w:tcBorders>
              <w:top w:val="single" w:color="CAD3D8" w:sz="1"/>
              <w:left w:val="single" w:color="CAD3D8" w:sz="1"/>
              <w:bottom w:val="single" w:color="CAD3D8" w:sz="1"/>
              <w:right w:val="single" w:color="CAD3D8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7212B"/>
                <w:sz w:val="20"/>
                <w:szCs w:val="20"/>
              </w:rPr>
              <w:t xml:space="preserve">40–65</w:t>
            </w:r>
          </w:p>
        </w:tc>
        <w:tc>
          <w:tcPr>
            <w:tcW w:type="dxa" w:w="4906"/>
            <w:tcBorders>
              <w:top w:val="single" w:color="CAD3D8" w:sz="1"/>
              <w:left w:val="single" w:color="CAD3D8" w:sz="1"/>
              <w:bottom w:val="single" w:color="CAD3D8" w:sz="1"/>
              <w:right w:val="single" w:color="CAD3D8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7212B"/>
                <w:sz w:val="20"/>
                <w:szCs w:val="20"/>
              </w:rPr>
              <w:t xml:space="preserve">Design an AI assistant</w:t>
            </w:r>
          </w:p>
        </w:tc>
        <w:tc>
          <w:tcPr>
            <w:tcW w:type="dxa" w:w="3000"/>
            <w:tcBorders>
              <w:top w:val="single" w:color="CAD3D8" w:sz="1"/>
              <w:left w:val="single" w:color="CAD3D8" w:sz="1"/>
              <w:bottom w:val="single" w:color="CAD3D8" w:sz="1"/>
              <w:right w:val="single" w:color="CAD3D8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7212B"/>
                <w:sz w:val="20"/>
                <w:szCs w:val="20"/>
              </w:rPr>
              <w:t xml:space="preserve">Hands-on 1</w:t>
            </w:r>
          </w:p>
        </w:tc>
      </w:tr>
      <w:tr>
        <w:tc>
          <w:tcPr>
            <w:tcW w:type="dxa" w:w="1800"/>
            <w:tcBorders>
              <w:top w:val="single" w:color="CAD3D8" w:sz="1"/>
              <w:left w:val="single" w:color="CAD3D8" w:sz="1"/>
              <w:bottom w:val="single" w:color="CAD3D8" w:sz="1"/>
              <w:right w:val="single" w:color="CAD3D8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7212B"/>
                <w:sz w:val="20"/>
                <w:szCs w:val="20"/>
              </w:rPr>
              <w:t xml:space="preserve">65–75</w:t>
            </w:r>
          </w:p>
        </w:tc>
        <w:tc>
          <w:tcPr>
            <w:tcW w:type="dxa" w:w="4906"/>
            <w:tcBorders>
              <w:top w:val="single" w:color="CAD3D8" w:sz="1"/>
              <w:left w:val="single" w:color="CAD3D8" w:sz="1"/>
              <w:bottom w:val="single" w:color="CAD3D8" w:sz="1"/>
              <w:right w:val="single" w:color="CAD3D8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7212B"/>
                <w:sz w:val="20"/>
                <w:szCs w:val="20"/>
              </w:rPr>
              <w:t xml:space="preserve">Break and participant sharing</w:t>
            </w:r>
          </w:p>
        </w:tc>
        <w:tc>
          <w:tcPr>
            <w:tcW w:type="dxa" w:w="3000"/>
            <w:tcBorders>
              <w:top w:val="single" w:color="CAD3D8" w:sz="1"/>
              <w:left w:val="single" w:color="CAD3D8" w:sz="1"/>
              <w:bottom w:val="single" w:color="CAD3D8" w:sz="1"/>
              <w:right w:val="single" w:color="CAD3D8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7212B"/>
                <w:sz w:val="20"/>
                <w:szCs w:val="20"/>
              </w:rPr>
              <w:t xml:space="preserve">Break</w:t>
            </w:r>
          </w:p>
        </w:tc>
      </w:tr>
      <w:tr>
        <w:tc>
          <w:tcPr>
            <w:tcW w:type="dxa" w:w="1800"/>
            <w:tcBorders>
              <w:top w:val="single" w:color="CAD3D8" w:sz="1"/>
              <w:left w:val="single" w:color="CAD3D8" w:sz="1"/>
              <w:bottom w:val="single" w:color="CAD3D8" w:sz="1"/>
              <w:right w:val="single" w:color="CAD3D8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7212B"/>
                <w:sz w:val="20"/>
                <w:szCs w:val="20"/>
              </w:rPr>
              <w:t xml:space="preserve">75–100</w:t>
            </w:r>
          </w:p>
        </w:tc>
        <w:tc>
          <w:tcPr>
            <w:tcW w:type="dxa" w:w="4906"/>
            <w:tcBorders>
              <w:top w:val="single" w:color="CAD3D8" w:sz="1"/>
              <w:left w:val="single" w:color="CAD3D8" w:sz="1"/>
              <w:bottom w:val="single" w:color="CAD3D8" w:sz="1"/>
              <w:right w:val="single" w:color="CAD3D8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7212B"/>
                <w:sz w:val="20"/>
                <w:szCs w:val="20"/>
              </w:rPr>
              <w:t xml:space="preserve">Build and test in Gemini Gems</w:t>
            </w:r>
          </w:p>
        </w:tc>
        <w:tc>
          <w:tcPr>
            <w:tcW w:type="dxa" w:w="3000"/>
            <w:tcBorders>
              <w:top w:val="single" w:color="CAD3D8" w:sz="1"/>
              <w:left w:val="single" w:color="CAD3D8" w:sz="1"/>
              <w:bottom w:val="single" w:color="CAD3D8" w:sz="1"/>
              <w:right w:val="single" w:color="CAD3D8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7212B"/>
                <w:sz w:val="20"/>
                <w:szCs w:val="20"/>
              </w:rPr>
              <w:t xml:space="preserve">Hands-on 2</w:t>
            </w:r>
          </w:p>
        </w:tc>
      </w:tr>
      <w:tr>
        <w:tc>
          <w:tcPr>
            <w:tcW w:type="dxa" w:w="1800"/>
            <w:tcBorders>
              <w:top w:val="single" w:color="CAD3D8" w:sz="1"/>
              <w:left w:val="single" w:color="CAD3D8" w:sz="1"/>
              <w:bottom w:val="single" w:color="CAD3D8" w:sz="1"/>
              <w:right w:val="single" w:color="CAD3D8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7212B"/>
                <w:sz w:val="20"/>
                <w:szCs w:val="20"/>
              </w:rPr>
              <w:t xml:space="preserve">100–112</w:t>
            </w:r>
          </w:p>
        </w:tc>
        <w:tc>
          <w:tcPr>
            <w:tcW w:type="dxa" w:w="4906"/>
            <w:tcBorders>
              <w:top w:val="single" w:color="CAD3D8" w:sz="1"/>
              <w:left w:val="single" w:color="CAD3D8" w:sz="1"/>
              <w:bottom w:val="single" w:color="CAD3D8" w:sz="1"/>
              <w:right w:val="single" w:color="CAD3D8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7212B"/>
                <w:sz w:val="20"/>
                <w:szCs w:val="20"/>
              </w:rPr>
              <w:t xml:space="preserve">Test cases, reflection, human approval</w:t>
            </w:r>
          </w:p>
        </w:tc>
        <w:tc>
          <w:tcPr>
            <w:tcW w:type="dxa" w:w="3000"/>
            <w:tcBorders>
              <w:top w:val="single" w:color="CAD3D8" w:sz="1"/>
              <w:left w:val="single" w:color="CAD3D8" w:sz="1"/>
              <w:bottom w:val="single" w:color="CAD3D8" w:sz="1"/>
              <w:right w:val="single" w:color="CAD3D8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7212B"/>
                <w:sz w:val="20"/>
                <w:szCs w:val="20"/>
              </w:rPr>
              <w:t xml:space="preserve">Improvement</w:t>
            </w:r>
          </w:p>
        </w:tc>
      </w:tr>
      <w:tr>
        <w:tc>
          <w:tcPr>
            <w:tcW w:type="dxa" w:w="1800"/>
            <w:tcBorders>
              <w:top w:val="single" w:color="CAD3D8" w:sz="1"/>
              <w:left w:val="single" w:color="CAD3D8" w:sz="1"/>
              <w:bottom w:val="single" w:color="CAD3D8" w:sz="1"/>
              <w:right w:val="single" w:color="CAD3D8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7212B"/>
                <w:sz w:val="20"/>
                <w:szCs w:val="20"/>
              </w:rPr>
              <w:t xml:space="preserve">112–120</w:t>
            </w:r>
          </w:p>
        </w:tc>
        <w:tc>
          <w:tcPr>
            <w:tcW w:type="dxa" w:w="4906"/>
            <w:tcBorders>
              <w:top w:val="single" w:color="CAD3D8" w:sz="1"/>
              <w:left w:val="single" w:color="CAD3D8" w:sz="1"/>
              <w:bottom w:val="single" w:color="CAD3D8" w:sz="1"/>
              <w:right w:val="single" w:color="CAD3D8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7212B"/>
                <w:sz w:val="20"/>
                <w:szCs w:val="20"/>
              </w:rPr>
              <w:t xml:space="preserve">Responsible-use checklist and closing</w:t>
            </w:r>
          </w:p>
        </w:tc>
        <w:tc>
          <w:tcPr>
            <w:tcW w:type="dxa" w:w="3000"/>
            <w:tcBorders>
              <w:top w:val="single" w:color="CAD3D8" w:sz="1"/>
              <w:left w:val="single" w:color="CAD3D8" w:sz="1"/>
              <w:bottom w:val="single" w:color="CAD3D8" w:sz="1"/>
              <w:right w:val="single" w:color="CAD3D8" w:sz="1"/>
            </w:tcBorders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7212B"/>
                <w:sz w:val="20"/>
                <w:szCs w:val="20"/>
              </w:rPr>
              <w:t xml:space="preserve">Sharing</w:t>
            </w:r>
          </w:p>
        </w:tc>
      </w:tr>
    </w:tbl>
    <w:p>
      <w:pPr>
        <w:pStyle w:val="Heading1"/>
      </w:pPr>
      <w:r>
        <w:t xml:space="preserve">Facilitation cues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Ask for the user and measurable outcome before discussing tools.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Treat refusals, escalation, and safe stopping as successful behaviours.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Request evidence for claims about prototype performance.</w:t>
      </w:r>
    </w:p>
    <w:p>
      <w:pPr>
        <w:pStyle w:val="ListParagraph"/>
        <w:numPr>
          <w:ilvl w:val="0"/>
          <w:numId w:val="2"/>
        </w:numPr>
        <w:spacing w:after="90"/>
      </w:pPr>
      <w:r>
        <w:t xml:space="preserve">Use the parking lot for platform-specific issues that would derail learning.</w:t>
      </w:r>
    </w:p>
    <w:sectPr>
      <w:footerReference w:type="default" r:id="rId7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t xml:space="preserve">UTM Agentic AI Training  |  </w:t>
    </w: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7212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cs="Arial" w:eastAsia="Arial" w:hAnsi="Arial"/>
      <w:b/>
      <w:bCs/>
      <w:color w:val="12304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008A8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Facilitator Guide</dc:title>
  <dc:creator>UTM Agentic AI Training</dc:creator>
  <cp:lastModifiedBy>Un-named</cp:lastModifiedBy>
  <cp:revision>1</cp:revision>
  <dcterms:created xsi:type="dcterms:W3CDTF">2026-07-11T01:07:00.719Z</dcterms:created>
  <dcterms:modified xsi:type="dcterms:W3CDTF">2026-07-11T01:07:00.725Z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