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Название приложения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Разработчик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Тип мониторинга и описание функционала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Тип приложения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2420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Берегите лес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Авиалесохрана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Быстрые звонки в Федеральную диспетчерскую службу Рослесхоза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Отправка сообщений и фотографий с координатами места с пожарами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Android-</w:t>
            </w: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Веб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"https://aviales.ru/default.aspx?textpage=219"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it-IT"/>
              </w:rPr>
              <w:t>https://aviales.ru/default.aspx?textpage=219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08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Лесохранитель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Формоза софт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Работа со стационарными камерами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автоматический мониторинг с использованием </w:t>
            </w:r>
            <w:r>
              <w:rPr>
                <w:rStyle w:val="Нет"/>
                <w:shd w:val="nil" w:color="auto" w:fill="auto"/>
                <w:rtl w:val="0"/>
              </w:rPr>
              <w:t xml:space="preserve">CV.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Прогнозирование развития пожаров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управление оповещением и противопожарными мероприятиями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Есть поддержка работы с БПЛА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Программно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"https://lesohranitel.ru/"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https://lesohranitel.ru/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264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Лесной дозор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ДиСиКон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Работа со стационарными камерами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Круглосуточный автоматический мониторинг пожара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Определение расстояния и координат пожара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Программно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"https://www.lesdozor.ru/opisanie-kompleksa/"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https://www.lesdozor.ru/opisanie-kompleksa/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ИСДМ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Рослесхоз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Рослесхоз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</w:rPr>
              <w:t>ИКИ РАН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Спутниковый мониторинг пожарной обстановки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Информационно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аналитическая система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"https://pushkino.aviales.ru/main_pages/index.shtml"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https://pushkino.aviales.ru/main_pages/index.shtml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264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IQ FireWatch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Pergam.kz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Работа со стационарными камерами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Круглосуточный автоматический мониторинг пожара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Определение расстояния и координат пожара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Программно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"https://www.pergam.kz/catalog/cctv/fires/sistema-monitoringa-pozharov.htm"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https://www.pergam.kz/catalog/cctv/fires/sistema-monitoringa-pozharov.htm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264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ИВА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ИНКОМ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Работа со стационарными камерами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Круглосуточный автоматический мониторинг пожара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Определение расстояния и координат пожара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Программно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аппаратный комплекс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"https://incom.tomsk.ru/product/fire/sistema-intellektualnogo-videonablyudeniya-i-analitiki-lesopozharnoy-obstanovki-iva/"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https://incom.tomsk.ru/product/fire/sistema-intellektualnogo-videonablyudeniya-i-analitiki-lesopozharnoy-obstanovki-iva/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1686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Ясень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</w:rPr>
              <w:t>ВЕБ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ИНКОМ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Комплексный контроль лесопожарной обстановки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спутниковые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аэрофотосъемка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камеры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Информационно</w:t>
            </w:r>
            <w:r>
              <w:rPr>
                <w:rStyle w:val="Нет"/>
                <w:shd w:val="nil" w:color="auto" w:fill="auto"/>
                <w:rtl w:val="0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аналитическая система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"https://incom.tomsk.ru/product/fire/yasen-veb/"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https://incom.tomsk.ru/product/fire/yasen-veb/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Helvetica Neue" w:cs="Helvetica Neue" w:hAnsi="Helvetica Neue" w:eastAsia="Helvetica Neue"/>
      <w:u w:val="single"/>
      <w:shd w:val="nil" w:color="auto" w:fill="auto"/>
      <w:lang w:val="it-IT"/>
    </w:rPr>
  </w:style>
  <w:style w:type="character" w:styleId="Hyperlink.1">
    <w:name w:val="Hyperlink.1"/>
    <w:basedOn w:val="Нет"/>
    <w:next w:val="Hyperlink.1"/>
    <w:rPr>
      <w:rFonts w:ascii="Helvetica Neue" w:cs="Helvetica Neue" w:hAnsi="Helvetica Neue" w:eastAsia="Helvetica Neue"/>
      <w:u w:val="single"/>
      <w:shd w:val="nil" w:color="auto" w:fill="auto"/>
    </w:rPr>
  </w:style>
  <w:style w:type="character" w:styleId="Hyperlink.2">
    <w:name w:val="Hyperlink.2"/>
    <w:basedOn w:val="Нет"/>
    <w:next w:val="Hyperlink.2"/>
    <w:rPr>
      <w:rFonts w:ascii="Helvetica Neue" w:cs="Helvetica Neue" w:hAnsi="Helvetica Neue" w:eastAsia="Helvetica Neue"/>
      <w:u w:val="single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