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w:hAnsi="Segoe UI"/>
          <w:b/>
          <w:color w:val="102A43"/>
          <w:sz w:val="44"/>
        </w:rPr>
        <w:t>ТЕХНІЧНА ДОКУМЕНТАЦІЯ ПОРТАЛУ</w:t>
        <w:br/>
        <w:t>«НАВІГАТОРПМГ26»</w:t>
      </w:r>
    </w:p>
    <w:p>
      <w:pPr>
        <w:spacing w:after="720"/>
        <w:jc w:val="center"/>
      </w:pPr>
      <w:r>
        <w:rPr>
          <w:rFonts w:ascii="Segoe UI" w:hAnsi="Segoe UI"/>
          <w:i/>
          <w:color w:val="647688"/>
          <w:sz w:val="26"/>
        </w:rPr>
        <w:t>Внутрішній робочий простір експертів та фахівців НСЗУ</w:t>
      </w:r>
    </w:p>
    <w:p>
      <w:pPr>
        <w:spacing w:after="480"/>
        <w:jc w:val="center"/>
      </w:pPr>
      <w:r>
        <w:rPr>
          <w:color w:val="647688"/>
        </w:rPr>
        <w:t>──────────────────────────────────────────────────</w:t>
      </w:r>
    </w:p>
    <w:p>
      <w:pPr>
        <w:pStyle w:val="Heading1"/>
        <w:keepNext/>
        <w:spacing w:before="240" w:after="120"/>
      </w:pPr>
      <w:r>
        <w:rPr>
          <w:rFonts w:ascii="Segoe UI" w:hAnsi="Segoe UI"/>
          <w:b/>
          <w:color w:val="006FC9"/>
          <w:sz w:val="36"/>
        </w:rPr>
        <w:t>1. ЗАГАЛЬНИЙ ОПИС СИСТЕМИ</w:t>
      </w:r>
    </w:p>
    <w:p>
      <w:pPr>
        <w:spacing w:after="160"/>
      </w:pPr>
      <w:r>
        <w:t>Портал «НавігаторПМГ26» — це веб-додаток, розроблений Департаментом стратегії універсального охоплення населення медичними послугами НСЗУ. Головна мета системи — надання контрактним спеціалістам, медичним експертам, лікарям та керівникам закладів охорони здоров'я інструментів для швидкого пошуку нормативно-правових вимог, тарифів, коефіцієнтів та аналізу діючих договорів за програмами медичних гарантій (ПМГ 2026).</w:t>
      </w:r>
    </w:p>
    <w:p>
      <w:pPr>
        <w:spacing w:after="80"/>
      </w:pPr>
      <w:r>
        <w:t>Технологічний стек системи базується на принципах легкості та швидкодії:</w:t>
      </w:r>
    </w:p>
    <w:p>
      <w:pPr>
        <w:pStyle w:val="ListBullet"/>
      </w:pPr>
      <w:r>
        <w:t>Frontend: HTML5, CSS3 (чистий Vanilla CSS з використанням кастомних CSS Variables), модульний JavaScript (ES6+ Modules), бібліотека Leaflet для геокарт.</w:t>
      </w:r>
    </w:p>
    <w:p>
      <w:pPr>
        <w:pStyle w:val="ListBullet"/>
      </w:pPr>
      <w:r>
        <w:t>Backend та База даних (BaaS): Supabase (хмарна інфраструктура PostgreSQL, Supabase Auth для авторизації, Realtime Presence для відстеження статусу користувачів, та Storage для файлів).</w:t>
      </w:r>
    </w:p>
    <w:p>
      <w:pPr>
        <w:pStyle w:val="ListBullet"/>
      </w:pPr>
      <w:r>
        <w:t>Локальний сервер: Легковажний веб-сервер на Python (server.py) з примусовим відключенням кешування заголовками HTTP для забезпечення миттєвого відображення змін під час розробки.</w:t>
      </w:r>
    </w:p>
    <w:p>
      <w:pPr>
        <w:pStyle w:val="Heading1"/>
        <w:keepNext/>
        <w:spacing w:before="240" w:after="120"/>
      </w:pPr>
      <w:r>
        <w:rPr>
          <w:rFonts w:ascii="Segoe UI" w:hAnsi="Segoe UI"/>
          <w:b/>
          <w:color w:val="006FC9"/>
          <w:sz w:val="36"/>
        </w:rPr>
        <w:t>2. АРХІТЕКТУРА ТА СТРУКТУРА ФАЙЛІВ</w:t>
      </w:r>
    </w:p>
    <w:p>
      <w:r>
        <w:t>Код порталу розділений на основну робочу версію (05_Веб_реєстр) та синхронізовану версію для публікації на хостингу GitHub Pages (06_GitHub_версія). Структура файлової системи виглядає наступним чином:</w:t>
      </w:r>
    </w:p>
    <w:tbl>
      <w:tblPr>
        <w:tblW w:type="auto" w:w="0"/>
        <w:jc w:val="center"/>
        <w:tblLook w:firstColumn="1" w:firstRow="1" w:lastColumn="0" w:lastRow="0" w:noHBand="0" w:noVBand="1" w:val="04A0"/>
      </w:tblPr>
      <w:tblGrid>
        <w:gridCol w:w="4680"/>
        <w:gridCol w:w="4680"/>
      </w:tblGrid>
      <w:tr>
        <w:tc>
          <w:tcPr>
            <w:tcW w:type="dxa" w:w="4680"/>
            <w:shd w:val="clear" w:color="auto" w:fill="006FC9"/>
          </w:tcPr>
          <w:p>
            <w:r>
              <w:rPr>
                <w:b/>
                <w:color w:val="FFFFFF"/>
              </w:rPr>
              <w:t>Шлях до файлу / директорії</w:t>
            </w:r>
          </w:p>
        </w:tc>
        <w:tc>
          <w:tcPr>
            <w:tcW w:type="dxa" w:w="4680"/>
            <w:shd w:val="clear" w:color="auto" w:fill="006FC9"/>
          </w:tcPr>
          <w:p>
            <w:r>
              <w:rPr>
                <w:b/>
                <w:color w:val="FFFFFF"/>
              </w:rPr>
              <w:t>Функціональне призначення</w:t>
            </w:r>
          </w:p>
        </w:tc>
      </w:tr>
      <w:tr>
        <w:tc>
          <w:tcPr>
            <w:tcW w:type="dxa" w:w="4680"/>
          </w:tcPr>
          <w:p>
            <w:r>
              <w:rPr>
                <w:rFonts w:ascii="Segoe UI" w:hAnsi="Segoe UI"/>
                <w:b/>
                <w:sz w:val="20"/>
              </w:rPr>
              <w:t>index.html</w:t>
            </w:r>
          </w:p>
        </w:tc>
        <w:tc>
          <w:tcPr>
            <w:tcW w:type="dxa" w:w="4680"/>
          </w:tcPr>
          <w:p>
            <w:r>
              <w:rPr>
                <w:rFonts w:ascii="Segoe UI" w:hAnsi="Segoe UI"/>
                <w:sz w:val="20"/>
              </w:rPr>
              <w:t>Головна сторінка порталу. Містить інформаційний дайджест новин, панель навігації та загальну статистику.</w:t>
            </w:r>
          </w:p>
        </w:tc>
      </w:tr>
      <w:tr>
        <w:tc>
          <w:tcPr>
            <w:tcW w:type="dxa" w:w="4680"/>
          </w:tcPr>
          <w:p>
            <w:r>
              <w:rPr>
                <w:rFonts w:ascii="Segoe UI" w:hAnsi="Segoe UI"/>
                <w:b/>
                <w:sz w:val="20"/>
              </w:rPr>
              <w:t>styles.css</w:t>
            </w:r>
          </w:p>
        </w:tc>
        <w:tc>
          <w:tcPr>
            <w:tcW w:type="dxa" w:w="4680"/>
          </w:tcPr>
          <w:p>
            <w:r>
              <w:rPr>
                <w:rFonts w:ascii="Segoe UI" w:hAnsi="Segoe UI"/>
                <w:sz w:val="20"/>
              </w:rPr>
              <w:t>Базовий дизайн-системний файл CSS. Визначає глобальні токени, кольорові змінні світлої теми, шрифти Manrope та загальну верстку.</w:t>
            </w:r>
          </w:p>
        </w:tc>
      </w:tr>
      <w:tr>
        <w:tc>
          <w:tcPr>
            <w:tcW w:type="dxa" w:w="4680"/>
          </w:tcPr>
          <w:p>
            <w:r>
              <w:rPr>
                <w:rFonts w:ascii="Segoe UI" w:hAnsi="Segoe UI"/>
                <w:b/>
                <w:sz w:val="20"/>
              </w:rPr>
              <w:t>portal.css</w:t>
            </w:r>
          </w:p>
        </w:tc>
        <w:tc>
          <w:tcPr>
            <w:tcW w:type="dxa" w:w="4680"/>
          </w:tcPr>
          <w:p>
            <w:r>
              <w:rPr>
                <w:rFonts w:ascii="Segoe UI" w:hAnsi="Segoe UI"/>
                <w:sz w:val="20"/>
              </w:rPr>
              <w:t>Стилі для інформаційних карток, дайджестів, бейджів новин та елементів управління головної сторінки.</w:t>
            </w:r>
          </w:p>
        </w:tc>
      </w:tr>
      <w:tr>
        <w:tc>
          <w:tcPr>
            <w:tcW w:type="dxa" w:w="4680"/>
          </w:tcPr>
          <w:p>
            <w:r>
              <w:rPr>
                <w:rFonts w:ascii="Segoe UI" w:hAnsi="Segoe UI"/>
                <w:b/>
                <w:sz w:val="20"/>
              </w:rPr>
              <w:t>auth-v2.js</w:t>
            </w:r>
          </w:p>
        </w:tc>
        <w:tc>
          <w:tcPr>
            <w:tcW w:type="dxa" w:w="4680"/>
          </w:tcPr>
          <w:p>
            <w:r>
              <w:rPr>
                <w:rFonts w:ascii="Segoe UI" w:hAnsi="Segoe UI"/>
                <w:sz w:val="20"/>
              </w:rPr>
              <w:t>Центральний JavaScript-модуль системи. Керує Supabase Auth, сесіями, профілями, онлайн-присутністю та логікою перемикання теми.</w:t>
            </w:r>
          </w:p>
        </w:tc>
      </w:tr>
      <w:tr>
        <w:tc>
          <w:tcPr>
            <w:tcW w:type="dxa" w:w="4680"/>
          </w:tcPr>
          <w:p>
            <w:r>
              <w:rPr>
                <w:rFonts w:ascii="Segoe UI" w:hAnsi="Segoe UI"/>
                <w:b/>
                <w:sz w:val="20"/>
              </w:rPr>
              <w:t>auth-v2.css</w:t>
            </w:r>
          </w:p>
        </w:tc>
        <w:tc>
          <w:tcPr>
            <w:tcW w:type="dxa" w:w="4680"/>
          </w:tcPr>
          <w:p>
            <w:r>
              <w:rPr>
                <w:rFonts w:ascii="Segoe UI" w:hAnsi="Segoe UI"/>
                <w:sz w:val="20"/>
              </w:rPr>
              <w:t>Центральний файл стилів безпеки, авторизації, та глобальних оверрайдів темної теми (палітра Slate).</w:t>
            </w:r>
          </w:p>
        </w:tc>
      </w:tr>
      <w:tr>
        <w:tc>
          <w:tcPr>
            <w:tcW w:type="dxa" w:w="4680"/>
          </w:tcPr>
          <w:p>
            <w:r>
              <w:rPr>
                <w:rFonts w:ascii="Segoe UI" w:hAnsi="Segoe UI"/>
                <w:b/>
                <w:sz w:val="20"/>
              </w:rPr>
              <w:t>algorithms/</w:t>
            </w:r>
          </w:p>
        </w:tc>
        <w:tc>
          <w:tcPr>
            <w:tcW w:type="dxa" w:w="4680"/>
          </w:tcPr>
          <w:p>
            <w:r>
              <w:rPr>
                <w:rFonts w:ascii="Segoe UI" w:hAnsi="Segoe UI"/>
                <w:sz w:val="20"/>
              </w:rPr>
              <w:t>Директорія модуля пошуку в алгоритмах та правилах наказу № 377. Містить index.html, algorithms.js та algorithms.css.</w:t>
            </w:r>
          </w:p>
        </w:tc>
      </w:tr>
      <w:tr>
        <w:tc>
          <w:tcPr>
            <w:tcW w:type="dxa" w:w="4680"/>
          </w:tcPr>
          <w:p>
            <w:r>
              <w:rPr>
                <w:rFonts w:ascii="Segoe UI" w:hAnsi="Segoe UI"/>
                <w:b/>
                <w:sz w:val="20"/>
              </w:rPr>
              <w:t>postanova/</w:t>
            </w:r>
          </w:p>
        </w:tc>
        <w:tc>
          <w:tcPr>
            <w:tcW w:type="dxa" w:w="4680"/>
          </w:tcPr>
          <w:p>
            <w:r>
              <w:rPr>
                <w:rFonts w:ascii="Segoe UI" w:hAnsi="Segoe UI"/>
                <w:sz w:val="20"/>
              </w:rPr>
              <w:t>Директорія модуля пошуку в нормах постанови та Порядку № 1808. Містить index.html, resolution.js та resolution.css.</w:t>
            </w:r>
          </w:p>
        </w:tc>
      </w:tr>
      <w:tr>
        <w:tc>
          <w:tcPr>
            <w:tcW w:type="dxa" w:w="4680"/>
          </w:tcPr>
          <w:p>
            <w:r>
              <w:rPr>
                <w:rFonts w:ascii="Segoe UI" w:hAnsi="Segoe UI"/>
                <w:b/>
                <w:sz w:val="20"/>
              </w:rPr>
              <w:t>zoz-dogovr/</w:t>
            </w:r>
          </w:p>
        </w:tc>
        <w:tc>
          <w:tcPr>
            <w:tcW w:type="dxa" w:w="4680"/>
          </w:tcPr>
          <w:p>
            <w:r>
              <w:rPr>
                <w:rFonts w:ascii="Segoe UI" w:hAnsi="Segoe UI"/>
                <w:sz w:val="20"/>
              </w:rPr>
              <w:t>Директорія аналітики укладених договорів ЗОЗ з НСЗУ. Включає інтерактивну карту Leaflet, index.html, contracts.js та contracts.css.</w:t>
            </w:r>
          </w:p>
        </w:tc>
      </w:tr>
      <w:tr>
        <w:tc>
          <w:tcPr>
            <w:tcW w:type="dxa" w:w="4680"/>
          </w:tcPr>
          <w:p>
            <w:r>
              <w:rPr>
                <w:rFonts w:ascii="Segoe UI" w:hAnsi="Segoe UI"/>
                <w:b/>
                <w:sz w:val="20"/>
              </w:rPr>
              <w:t>news/</w:t>
            </w:r>
          </w:p>
        </w:tc>
        <w:tc>
          <w:tcPr>
            <w:tcW w:type="dxa" w:w="4680"/>
          </w:tcPr>
          <w:p>
            <w:r>
              <w:rPr>
                <w:rFonts w:ascii="Segoe UI" w:hAnsi="Segoe UI"/>
                <w:sz w:val="20"/>
              </w:rPr>
              <w:t>Панель публікації та видалення новин (для адміністраторів та менеджерів).</w:t>
            </w:r>
          </w:p>
        </w:tc>
      </w:tr>
      <w:tr>
        <w:tc>
          <w:tcPr>
            <w:tcW w:type="dxa" w:w="4680"/>
          </w:tcPr>
          <w:p>
            <w:r>
              <w:rPr>
                <w:rFonts w:ascii="Segoe UI" w:hAnsi="Segoe UI"/>
                <w:b/>
                <w:sz w:val="20"/>
              </w:rPr>
              <w:t>chat/</w:t>
            </w:r>
          </w:p>
        </w:tc>
        <w:tc>
          <w:tcPr>
            <w:tcW w:type="dxa" w:w="4680"/>
          </w:tcPr>
          <w:p>
            <w:r>
              <w:rPr>
                <w:rFonts w:ascii="Segoe UI" w:hAnsi="Segoe UI"/>
                <w:sz w:val="20"/>
              </w:rPr>
              <w:t>Внутрішній робочий чат для комунікації співробітників НСЗУ.</w:t>
            </w:r>
          </w:p>
        </w:tc>
      </w:tr>
      <w:tr>
        <w:tc>
          <w:tcPr>
            <w:tcW w:type="dxa" w:w="4680"/>
          </w:tcPr>
          <w:p>
            <w:r>
              <w:rPr>
                <w:rFonts w:ascii="Segoe UI" w:hAnsi="Segoe UI"/>
                <w:b/>
                <w:sz w:val="20"/>
              </w:rPr>
              <w:t>pakety/</w:t>
            </w:r>
          </w:p>
        </w:tc>
        <w:tc>
          <w:tcPr>
            <w:tcW w:type="dxa" w:w="4680"/>
          </w:tcPr>
          <w:p>
            <w:r>
              <w:rPr>
                <w:rFonts w:ascii="Segoe UI" w:hAnsi="Segoe UI"/>
                <w:sz w:val="20"/>
              </w:rPr>
              <w:t>Навігатор по пакетах ПМГ 2026 та кастомний генератор звітів (Search Machine).</w:t>
            </w:r>
          </w:p>
        </w:tc>
      </w:tr>
      <w:tr>
        <w:tc>
          <w:tcPr>
            <w:tcW w:type="dxa" w:w="4680"/>
          </w:tcPr>
          <w:p>
            <w:r>
              <w:rPr>
                <w:rFonts w:ascii="Segoe UI" w:hAnsi="Segoe UI"/>
                <w:b/>
                <w:sz w:val="20"/>
              </w:rPr>
              <w:t>server.py</w:t>
            </w:r>
          </w:p>
        </w:tc>
        <w:tc>
          <w:tcPr>
            <w:tcW w:type="dxa" w:w="4680"/>
          </w:tcPr>
          <w:p>
            <w:r>
              <w:rPr>
                <w:rFonts w:ascii="Segoe UI" w:hAnsi="Segoe UI"/>
                <w:sz w:val="20"/>
              </w:rPr>
              <w:t>Скрипт локального сервера Python з підтримкою заголовків Cache-Control: no-cache для відладки.</w:t>
            </w:r>
          </w:p>
        </w:tc>
      </w:tr>
    </w:tbl>
    <w:p>
      <w:pPr>
        <w:spacing w:before="240"/>
      </w:pPr>
    </w:p>
    <w:p>
      <w:pPr>
        <w:pStyle w:val="Heading1"/>
        <w:keepNext/>
        <w:spacing w:before="240" w:after="120"/>
      </w:pPr>
      <w:r>
        <w:rPr>
          <w:rFonts w:ascii="Segoe UI" w:hAnsi="Segoe UI"/>
          <w:b/>
          <w:color w:val="006FC9"/>
          <w:sz w:val="36"/>
        </w:rPr>
        <w:t>3. СИСТЕМА АВТОРИЗАЦІЇ, РОЛЕЙ ТА БЕЗПЕКИ</w:t>
      </w:r>
    </w:p>
    <w:p>
      <w:r>
        <w:t>Авторизація користувачів реалізована на базі Supabase Auth. Під час реєстрації користувач самостійно вказує ПІБ, посаду та департамент, проте автоматично отримує базову роль guest. Адміністратор системи згодом може перерозподілити ролі через панель управління базою даних.</w:t>
      </w:r>
    </w:p>
    <w:p>
      <w:pPr>
        <w:pStyle w:val="Heading2"/>
        <w:keepNext/>
        <w:spacing w:before="240" w:after="120"/>
      </w:pPr>
      <w:r>
        <w:rPr>
          <w:rFonts w:ascii="Segoe UI" w:hAnsi="Segoe UI"/>
          <w:b/>
          <w:color w:val="102A43"/>
          <w:sz w:val="28"/>
        </w:rPr>
        <w:t>3.1 Матриця прав та ролей користувачів</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02A43"/>
          </w:tcPr>
          <w:p>
            <w:r>
              <w:rPr>
                <w:b/>
                <w:color w:val="FFFFFF"/>
              </w:rPr>
              <w:t>Роль</w:t>
            </w:r>
          </w:p>
        </w:tc>
        <w:tc>
          <w:tcPr>
            <w:tcW w:type="dxa" w:w="3120"/>
            <w:shd w:val="clear" w:color="auto" w:fill="102A43"/>
          </w:tcPr>
          <w:p>
            <w:r>
              <w:rPr>
                <w:b/>
                <w:color w:val="FFFFFF"/>
              </w:rPr>
              <w:t>Рівень доступу</w:t>
            </w:r>
          </w:p>
        </w:tc>
        <w:tc>
          <w:tcPr>
            <w:tcW w:type="dxa" w:w="3120"/>
            <w:shd w:val="clear" w:color="auto" w:fill="102A43"/>
          </w:tcPr>
          <w:p>
            <w:r>
              <w:rPr>
                <w:b/>
                <w:color w:val="FFFFFF"/>
              </w:rPr>
              <w:t>Дозволені операції</w:t>
            </w:r>
          </w:p>
        </w:tc>
      </w:tr>
      <w:tr>
        <w:tc>
          <w:tcPr>
            <w:tcW w:type="dxa" w:w="3120"/>
          </w:tcPr>
          <w:p>
            <w:r>
              <w:rPr>
                <w:rFonts w:ascii="Segoe UI" w:hAnsi="Segoe UI"/>
                <w:b/>
                <w:sz w:val="19"/>
              </w:rPr>
              <w:t>guest</w:t>
            </w:r>
          </w:p>
        </w:tc>
        <w:tc>
          <w:tcPr>
            <w:tcW w:type="dxa" w:w="3120"/>
          </w:tcPr>
          <w:p>
            <w:r>
              <w:rPr>
                <w:rFonts w:ascii="Segoe UI" w:hAnsi="Segoe UI"/>
                <w:sz w:val="19"/>
              </w:rPr>
              <w:t>Гість (Базовий)</w:t>
            </w:r>
          </w:p>
        </w:tc>
        <w:tc>
          <w:tcPr>
            <w:tcW w:type="dxa" w:w="3120"/>
          </w:tcPr>
          <w:p>
            <w:r>
              <w:rPr>
                <w:rFonts w:ascii="Segoe UI" w:hAnsi="Segoe UI"/>
                <w:sz w:val="19"/>
              </w:rPr>
              <w:t>Доступ виключно до читання інформаційних матеріалів: дайджесту новин, пакетів, постанов, алгоритмів та договорів. Заборонено писати в чат, створювати новини, додавати записи СКО-Д, запитання чи пропозиції.</w:t>
            </w:r>
          </w:p>
        </w:tc>
      </w:tr>
      <w:tr>
        <w:tc>
          <w:tcPr>
            <w:tcW w:type="dxa" w:w="3120"/>
          </w:tcPr>
          <w:p>
            <w:r>
              <w:rPr>
                <w:rFonts w:ascii="Segoe UI" w:hAnsi="Segoe UI"/>
                <w:b/>
                <w:sz w:val="19"/>
              </w:rPr>
              <w:t>registered</w:t>
            </w:r>
          </w:p>
        </w:tc>
        <w:tc>
          <w:tcPr>
            <w:tcW w:type="dxa" w:w="3120"/>
          </w:tcPr>
          <w:p>
            <w:r>
              <w:rPr>
                <w:rFonts w:ascii="Segoe UI" w:hAnsi="Segoe UI"/>
                <w:sz w:val="19"/>
              </w:rPr>
              <w:t>Колега / Співробітник</w:t>
            </w:r>
          </w:p>
        </w:tc>
        <w:tc>
          <w:tcPr>
            <w:tcW w:type="dxa" w:w="3120"/>
          </w:tcPr>
          <w:p>
            <w:r>
              <w:rPr>
                <w:rFonts w:ascii="Segoe UI" w:hAnsi="Segoe UI"/>
                <w:sz w:val="19"/>
              </w:rPr>
              <w:t>Перегляд інформації, участь у робочому чаті, додавання запитань щодо ЗОЗ та пропозицій до ПМГ.</w:t>
            </w:r>
          </w:p>
        </w:tc>
      </w:tr>
      <w:tr>
        <w:tc>
          <w:tcPr>
            <w:tcW w:type="dxa" w:w="3120"/>
          </w:tcPr>
          <w:p>
            <w:r>
              <w:rPr>
                <w:rFonts w:ascii="Segoe UI" w:hAnsi="Segoe UI"/>
                <w:b/>
                <w:sz w:val="19"/>
              </w:rPr>
              <w:t>expert</w:t>
            </w:r>
          </w:p>
        </w:tc>
        <w:tc>
          <w:tcPr>
            <w:tcW w:type="dxa" w:w="3120"/>
          </w:tcPr>
          <w:p>
            <w:r>
              <w:rPr>
                <w:rFonts w:ascii="Segoe UI" w:hAnsi="Segoe UI"/>
                <w:sz w:val="19"/>
              </w:rPr>
              <w:t>Експерт НСЗУ</w:t>
            </w:r>
          </w:p>
        </w:tc>
        <w:tc>
          <w:tcPr>
            <w:tcW w:type="dxa" w:w="3120"/>
          </w:tcPr>
          <w:p>
            <w:r>
              <w:rPr>
                <w:rFonts w:ascii="Segoe UI" w:hAnsi="Segoe UI"/>
                <w:sz w:val="19"/>
              </w:rPr>
              <w:t>Всі права ролі registered + повний аналіз СКО-Д, внесення записів та робота з калькуляторами тарифів.</w:t>
            </w:r>
          </w:p>
        </w:tc>
      </w:tr>
      <w:tr>
        <w:tc>
          <w:tcPr>
            <w:tcW w:type="dxa" w:w="3120"/>
          </w:tcPr>
          <w:p>
            <w:r>
              <w:rPr>
                <w:rFonts w:ascii="Segoe UI" w:hAnsi="Segoe UI"/>
                <w:b/>
                <w:sz w:val="19"/>
              </w:rPr>
              <w:t>manager</w:t>
            </w:r>
          </w:p>
        </w:tc>
        <w:tc>
          <w:tcPr>
            <w:tcW w:type="dxa" w:w="3120"/>
          </w:tcPr>
          <w:p>
            <w:r>
              <w:rPr>
                <w:rFonts w:ascii="Segoe UI" w:hAnsi="Segoe UI"/>
                <w:sz w:val="19"/>
              </w:rPr>
              <w:t>Менеджер / Редактор</w:t>
            </w:r>
          </w:p>
        </w:tc>
        <w:tc>
          <w:tcPr>
            <w:tcW w:type="dxa" w:w="3120"/>
          </w:tcPr>
          <w:p>
            <w:r>
              <w:rPr>
                <w:rFonts w:ascii="Segoe UI" w:hAnsi="Segoe UI"/>
                <w:sz w:val="19"/>
              </w:rPr>
              <w:t>Всі права ролі registered + можливість створювати, редагувати та видаляти публікації в дайджесті новин з інтерфейсу.</w:t>
            </w:r>
          </w:p>
        </w:tc>
      </w:tr>
      <w:tr>
        <w:tc>
          <w:tcPr>
            <w:tcW w:type="dxa" w:w="3120"/>
          </w:tcPr>
          <w:p>
            <w:r>
              <w:rPr>
                <w:rFonts w:ascii="Segoe UI" w:hAnsi="Segoe UI"/>
                <w:b/>
                <w:sz w:val="19"/>
              </w:rPr>
              <w:t>director / deputy_director</w:t>
            </w:r>
          </w:p>
        </w:tc>
        <w:tc>
          <w:tcPr>
            <w:tcW w:type="dxa" w:w="3120"/>
          </w:tcPr>
          <w:p>
            <w:r>
              <w:rPr>
                <w:rFonts w:ascii="Segoe UI" w:hAnsi="Segoe UI"/>
                <w:sz w:val="19"/>
              </w:rPr>
              <w:t>Керівництво</w:t>
            </w:r>
          </w:p>
        </w:tc>
        <w:tc>
          <w:tcPr>
            <w:tcW w:type="dxa" w:w="3120"/>
          </w:tcPr>
          <w:p>
            <w:r>
              <w:rPr>
                <w:rFonts w:ascii="Segoe UI" w:hAnsi="Segoe UI"/>
                <w:sz w:val="19"/>
              </w:rPr>
              <w:t>Повний доступ до публікації та видалення новин, перегляду логів та розширеної звітності.</w:t>
            </w:r>
          </w:p>
        </w:tc>
      </w:tr>
      <w:tr>
        <w:tc>
          <w:tcPr>
            <w:tcW w:type="dxa" w:w="3120"/>
          </w:tcPr>
          <w:p>
            <w:r>
              <w:rPr>
                <w:rFonts w:ascii="Segoe UI" w:hAnsi="Segoe UI"/>
                <w:b/>
                <w:sz w:val="19"/>
              </w:rPr>
              <w:t>admin</w:t>
            </w:r>
          </w:p>
        </w:tc>
        <w:tc>
          <w:tcPr>
            <w:tcW w:type="dxa" w:w="3120"/>
          </w:tcPr>
          <w:p>
            <w:r>
              <w:rPr>
                <w:rFonts w:ascii="Segoe UI" w:hAnsi="Segoe UI"/>
                <w:sz w:val="19"/>
              </w:rPr>
              <w:t>Адміністратор системи</w:t>
            </w:r>
          </w:p>
        </w:tc>
        <w:tc>
          <w:tcPr>
            <w:tcW w:type="dxa" w:w="3120"/>
          </w:tcPr>
          <w:p>
            <w:r>
              <w:rPr>
                <w:rFonts w:ascii="Segoe UI" w:hAnsi="Segoe UI"/>
                <w:sz w:val="19"/>
              </w:rPr>
              <w:t>Повний доступ до бази даних, управління ролями користувачів, створення та видалення будь-якого контенту.</w:t>
            </w:r>
          </w:p>
        </w:tc>
      </w:tr>
    </w:tbl>
    <w:p>
      <w:pPr>
        <w:spacing w:before="240"/>
      </w:pPr>
    </w:p>
    <w:p>
      <w:pPr>
        <w:pStyle w:val="Heading2"/>
        <w:keepNext/>
        <w:spacing w:before="240" w:after="120"/>
      </w:pPr>
      <w:r>
        <w:rPr>
          <w:rFonts w:ascii="Segoe UI" w:hAnsi="Segoe UI"/>
          <w:b/>
          <w:color w:val="102A43"/>
          <w:sz w:val="28"/>
        </w:rPr>
        <w:t>3.2 Безпека на рівні бази даних (RLS Policies)</w:t>
      </w:r>
    </w:p>
    <w:p>
      <w:r>
        <w:t>Для захисту інтерактивних функцій від несанкціонованого доступу користувачів з роллю guest на рівні PostgreSQL було впроваджено політики Row Level Security (RLS). Політики обмежують операцію INSERT для таблиць public.questions, public.proposals та public.skod_logs, перевіряючи роль авторизованого користувача в його профілі (profiles.role != 'guest').</w:t>
      </w:r>
    </w:p>
    <w:p>
      <w:pPr>
        <w:pStyle w:val="Heading1"/>
        <w:keepNext/>
        <w:spacing w:before="240" w:after="120"/>
      </w:pPr>
      <w:r>
        <w:rPr>
          <w:rFonts w:ascii="Segoe UI" w:hAnsi="Segoe UI"/>
          <w:b/>
          <w:color w:val="006FC9"/>
          <w:sz w:val="36"/>
        </w:rPr>
        <w:t>4. ТЕХНІЧНИЙ ОПИС ФУНКЦІОНАЛЬНИХ МОДУЛІВ</w:t>
      </w:r>
    </w:p>
    <w:p>
      <w:pPr>
        <w:pStyle w:val="Heading2"/>
        <w:keepNext/>
        <w:spacing w:before="240" w:after="120"/>
      </w:pPr>
      <w:r>
        <w:rPr>
          <w:rFonts w:ascii="Segoe UI" w:hAnsi="Segoe UI"/>
          <w:b/>
          <w:color w:val="102A43"/>
          <w:sz w:val="28"/>
        </w:rPr>
        <w:t>4.1 Інформаційний дайджест та Новини</w:t>
      </w:r>
    </w:p>
    <w:p>
      <w:r>
        <w:t>Модуль новин дозволяє оперативно інформувати колег про зміни в тарифах та наказах. Рівні пріоритетності новин:</w:t>
        <w:br/>
        <w:t>• Urgent (Терміново): Відображається червоним блимаючим бейджем та пульсуючим анімаційним маркером.</w:t>
        <w:br/>
        <w:t>• Important (Важливо): Відображається помаранчевим бейджем зі значком попередження.</w:t>
        <w:br/>
        <w:t>• Normal (Новина): Стандартний синій інформаційний бейдж.</w:t>
        <w:br/>
        <w:t>Для термінових та важливих новин впроваджено Глобальний Інформаційний Банер, який динамічно рендериться безпосередньо під кабінетом користувача на всіх сторінках порталу.</w:t>
      </w:r>
    </w:p>
    <w:p>
      <w:pPr>
        <w:pStyle w:val="Heading2"/>
        <w:keepNext/>
        <w:spacing w:before="240" w:after="120"/>
      </w:pPr>
      <w:r>
        <w:rPr>
          <w:rFonts w:ascii="Segoe UI" w:hAnsi="Segoe UI"/>
          <w:b/>
          <w:color w:val="102A43"/>
          <w:sz w:val="28"/>
        </w:rPr>
        <w:t>4.2 Чат та відстеження присутності (Realtime Presence)</w:t>
      </w:r>
    </w:p>
    <w:p>
      <w:r>
        <w:t>При переході на будь-яку сторінку порталу користувач автоматично реєструється в Supabase Presence каналі 'chat_room'. У верхній шапці сайту динамічно виводиться лічильник користувачів онлайн (зелений пульсуючий маркер). При наведенні курсору на маркер відкривається скляний (glassmorphism) випадаючий список присутніх колег з їхніми реальними іменами та департаментом. У разі виходу з акаунту користувач автоматично відключається від каналу присутності.</w:t>
      </w:r>
    </w:p>
    <w:p>
      <w:pPr>
        <w:pStyle w:val="Heading2"/>
        <w:keepNext/>
        <w:spacing w:before="240" w:after="120"/>
      </w:pPr>
      <w:r>
        <w:rPr>
          <w:rFonts w:ascii="Segoe UI" w:hAnsi="Segoe UI"/>
          <w:b/>
          <w:color w:val="102A43"/>
          <w:sz w:val="28"/>
        </w:rPr>
        <w:t>4.3 Інтерактивні реєстри: Постанова, Алгоритми, Договори</w:t>
      </w:r>
    </w:p>
    <w:p>
      <w:r>
        <w:t>Ці три модулі є ядрами пошуку:</w:t>
        <w:br/>
        <w:t>• Алгоритми: Швидкий пошук за кодами хвороб (NK 025), вивантаження тексту висновку для швидкого копіювання.</w:t>
        <w:br/>
        <w:t>• Постанова № 1808: Контекстний пошук за пунктами постанови та додатками з інтегрованими формулами розрахунку.</w:t>
        <w:br/>
        <w:t>• Договори ЗоЗ: Візуалізація договорів на карті України (Leaflet MarkerCluster) з фільтрацією за областями, пакетами медичних послуг, типом спроможної мережі та формами власності. Реалізовано експорт відфільтрованих договорів у Microsoft Excel (xlsx.js) та вивантаження списку електронних адрес ЗОЗ для розсилок.</w:t>
      </w:r>
    </w:p>
    <w:p>
      <w:pPr>
        <w:pStyle w:val="Heading1"/>
        <w:keepNext/>
        <w:spacing w:before="240" w:after="120"/>
      </w:pPr>
      <w:r>
        <w:rPr>
          <w:rFonts w:ascii="Segoe UI" w:hAnsi="Segoe UI"/>
          <w:b/>
          <w:color w:val="006FC9"/>
          <w:sz w:val="36"/>
        </w:rPr>
        <w:t>5. ДИЗАЙН-СИСТЕМА ТА ТЕМНА ТЕМА (DARK THEME)</w:t>
      </w:r>
    </w:p>
    <w:p>
      <w:r>
        <w:t>Портал використовує сучасну адаптивну дизайн-систему на базі CSS Variables. Перемикання теми виконується кнопкою ☀️/🌙 у верхній навігаційній панелі, а вибір зберігається в localStorage. Для уникнення білого спалаху при перезавантаженні сторінки, зчитування теми та додавання класу .dark-theme до елементу html виконується миттєво за допомогою inline-скрипту на початку auth-v2.js.</w:t>
      </w:r>
    </w:p>
    <w:p>
      <w:r>
        <w:t>Всі сторінки реєстрів адаптовані до темної теми. Замість хардкод-кольорів у файлах algorithms.css, resolution.css та contracts.css використовуються гнучкі CSS змінні, значення яких перевизначаються в auth-v2.css для темної палітри Slate: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3A8462"/>
          </w:tcPr>
          <w:p>
            <w:r>
              <w:rPr>
                <w:b/>
                <w:color w:val="FFFFFF"/>
              </w:rPr>
              <w:t>CSS Змінна</w:t>
            </w:r>
          </w:p>
        </w:tc>
        <w:tc>
          <w:tcPr>
            <w:tcW w:type="dxa" w:w="3120"/>
            <w:shd w:val="clear" w:color="auto" w:fill="3A8462"/>
          </w:tcPr>
          <w:p>
            <w:r>
              <w:rPr>
                <w:b/>
                <w:color w:val="FFFFFF"/>
              </w:rPr>
              <w:t>Світла тема (styles.css)</w:t>
            </w:r>
          </w:p>
        </w:tc>
        <w:tc>
          <w:tcPr>
            <w:tcW w:type="dxa" w:w="3120"/>
            <w:shd w:val="clear" w:color="auto" w:fill="3A8462"/>
          </w:tcPr>
          <w:p>
            <w:r>
              <w:rPr>
                <w:b/>
                <w:color w:val="FFFFFF"/>
              </w:rPr>
              <w:t>Темна тема (auth-v2.css)</w:t>
            </w:r>
          </w:p>
        </w:tc>
      </w:tr>
      <w:tr>
        <w:tc>
          <w:tcPr>
            <w:tcW w:type="dxa" w:w="3120"/>
          </w:tcPr>
          <w:p>
            <w:r>
              <w:rPr>
                <w:rFonts w:ascii="Segoe UI" w:hAnsi="Segoe UI"/>
                <w:b/>
                <w:sz w:val="20"/>
              </w:rPr>
              <w:t>--surface</w:t>
            </w:r>
          </w:p>
        </w:tc>
        <w:tc>
          <w:tcPr>
            <w:tcW w:type="dxa" w:w="3120"/>
          </w:tcPr>
          <w:p>
            <w:r>
              <w:rPr>
                <w:rFonts w:ascii="Segoe UI" w:hAnsi="Segoe UI"/>
                <w:sz w:val="20"/>
              </w:rPr>
              <w:t>#ffffff (Чистий білий)</w:t>
            </w:r>
          </w:p>
        </w:tc>
        <w:tc>
          <w:tcPr>
            <w:tcW w:type="dxa" w:w="3120"/>
          </w:tcPr>
          <w:p>
            <w:r>
              <w:rPr>
                <w:rFonts w:ascii="Segoe UI" w:hAnsi="Segoe UI"/>
                <w:sz w:val="20"/>
              </w:rPr>
              <w:t>#1e293b (Slate-800)</w:t>
            </w:r>
          </w:p>
        </w:tc>
      </w:tr>
      <w:tr>
        <w:tc>
          <w:tcPr>
            <w:tcW w:type="dxa" w:w="3120"/>
          </w:tcPr>
          <w:p>
            <w:r>
              <w:rPr>
                <w:rFonts w:ascii="Segoe UI" w:hAnsi="Segoe UI"/>
                <w:b/>
                <w:sz w:val="20"/>
              </w:rPr>
              <w:t>--soft</w:t>
            </w:r>
          </w:p>
        </w:tc>
        <w:tc>
          <w:tcPr>
            <w:tcW w:type="dxa" w:w="3120"/>
          </w:tcPr>
          <w:p>
            <w:r>
              <w:rPr>
                <w:rFonts w:ascii="Segoe UI" w:hAnsi="Segoe UI"/>
                <w:sz w:val="20"/>
              </w:rPr>
              <w:t>#f2f8fb (Світлий блакитний)</w:t>
            </w:r>
          </w:p>
        </w:tc>
        <w:tc>
          <w:tcPr>
            <w:tcW w:type="dxa" w:w="3120"/>
          </w:tcPr>
          <w:p>
            <w:r>
              <w:rPr>
                <w:rFonts w:ascii="Segoe UI" w:hAnsi="Segoe UI"/>
                <w:sz w:val="20"/>
              </w:rPr>
              <w:t>#0f172a (Slate-900)</w:t>
            </w:r>
          </w:p>
        </w:tc>
      </w:tr>
      <w:tr>
        <w:tc>
          <w:tcPr>
            <w:tcW w:type="dxa" w:w="3120"/>
          </w:tcPr>
          <w:p>
            <w:r>
              <w:rPr>
                <w:rFonts w:ascii="Segoe UI" w:hAnsi="Segoe UI"/>
                <w:b/>
                <w:sz w:val="20"/>
              </w:rPr>
              <w:t>--line</w:t>
            </w:r>
          </w:p>
        </w:tc>
        <w:tc>
          <w:tcPr>
            <w:tcW w:type="dxa" w:w="3120"/>
          </w:tcPr>
          <w:p>
            <w:r>
              <w:rPr>
                <w:rFonts w:ascii="Segoe UI" w:hAnsi="Segoe UI"/>
                <w:sz w:val="20"/>
              </w:rPr>
              <w:t>#e3edf3 (Світла межа)</w:t>
            </w:r>
          </w:p>
        </w:tc>
        <w:tc>
          <w:tcPr>
            <w:tcW w:type="dxa" w:w="3120"/>
          </w:tcPr>
          <w:p>
            <w:r>
              <w:rPr>
                <w:rFonts w:ascii="Segoe UI" w:hAnsi="Segoe UI"/>
                <w:sz w:val="20"/>
              </w:rPr>
              <w:t>#334155 (Slate-700)</w:t>
            </w:r>
          </w:p>
        </w:tc>
      </w:tr>
      <w:tr>
        <w:tc>
          <w:tcPr>
            <w:tcW w:type="dxa" w:w="3120"/>
          </w:tcPr>
          <w:p>
            <w:r>
              <w:rPr>
                <w:rFonts w:ascii="Segoe UI" w:hAnsi="Segoe UI"/>
                <w:b/>
                <w:sz w:val="20"/>
              </w:rPr>
              <w:t>--ink</w:t>
            </w:r>
          </w:p>
        </w:tc>
        <w:tc>
          <w:tcPr>
            <w:tcW w:type="dxa" w:w="3120"/>
          </w:tcPr>
          <w:p>
            <w:r>
              <w:rPr>
                <w:rFonts w:ascii="Segoe UI" w:hAnsi="Segoe UI"/>
                <w:sz w:val="20"/>
              </w:rPr>
              <w:t>#1f3347 (Темний текст)</w:t>
            </w:r>
          </w:p>
        </w:tc>
        <w:tc>
          <w:tcPr>
            <w:tcW w:type="dxa" w:w="3120"/>
          </w:tcPr>
          <w:p>
            <w:r>
              <w:rPr>
                <w:rFonts w:ascii="Segoe UI" w:hAnsi="Segoe UI"/>
                <w:sz w:val="20"/>
              </w:rPr>
              <w:t>#e2e8f0 (Slate-200)</w:t>
            </w:r>
          </w:p>
        </w:tc>
      </w:tr>
      <w:tr>
        <w:tc>
          <w:tcPr>
            <w:tcW w:type="dxa" w:w="3120"/>
          </w:tcPr>
          <w:p>
            <w:r>
              <w:rPr>
                <w:rFonts w:ascii="Segoe UI" w:hAnsi="Segoe UI"/>
                <w:b/>
                <w:sz w:val="20"/>
              </w:rPr>
              <w:t>--muted</w:t>
            </w:r>
          </w:p>
        </w:tc>
        <w:tc>
          <w:tcPr>
            <w:tcW w:type="dxa" w:w="3120"/>
          </w:tcPr>
          <w:p>
            <w:r>
              <w:rPr>
                <w:rFonts w:ascii="Segoe UI" w:hAnsi="Segoe UI"/>
                <w:sz w:val="20"/>
              </w:rPr>
              <w:t>#647688 (Приглушений сірий)</w:t>
            </w:r>
          </w:p>
        </w:tc>
        <w:tc>
          <w:tcPr>
            <w:tcW w:type="dxa" w:w="3120"/>
          </w:tcPr>
          <w:p>
            <w:r>
              <w:rPr>
                <w:rFonts w:ascii="Segoe UI" w:hAnsi="Segoe UI"/>
                <w:sz w:val="20"/>
              </w:rPr>
              <w:t>#94a3b8 (Slate-400)</w:t>
            </w:r>
          </w:p>
        </w:tc>
      </w:tr>
      <w:tr>
        <w:tc>
          <w:tcPr>
            <w:tcW w:type="dxa" w:w="3120"/>
          </w:tcPr>
          <w:p>
            <w:r>
              <w:rPr>
                <w:rFonts w:ascii="Segoe UI" w:hAnsi="Segoe UI"/>
                <w:b/>
                <w:sz w:val="20"/>
              </w:rPr>
              <w:t>--accent-soft</w:t>
            </w:r>
          </w:p>
        </w:tc>
        <w:tc>
          <w:tcPr>
            <w:tcW w:type="dxa" w:w="3120"/>
          </w:tcPr>
          <w:p>
            <w:r>
              <w:rPr>
                <w:rFonts w:ascii="Segoe UI" w:hAnsi="Segoe UI"/>
                <w:sz w:val="20"/>
              </w:rPr>
              <w:t>#eef6fc (Світлий акцент)</w:t>
            </w:r>
          </w:p>
        </w:tc>
        <w:tc>
          <w:tcPr>
            <w:tcW w:type="dxa" w:w="3120"/>
          </w:tcPr>
          <w:p>
            <w:r>
              <w:rPr>
                <w:rFonts w:ascii="Segoe UI" w:hAnsi="Segoe UI"/>
                <w:sz w:val="20"/>
              </w:rPr>
              <w:t>#1e293b (Slate-800)</w:t>
            </w:r>
          </w:p>
        </w:tc>
      </w:tr>
      <w:tr>
        <w:tc>
          <w:tcPr>
            <w:tcW w:type="dxa" w:w="3120"/>
          </w:tcPr>
          <w:p>
            <w:r>
              <w:rPr>
                <w:rFonts w:ascii="Segoe UI" w:hAnsi="Segoe UI"/>
                <w:b/>
                <w:sz w:val="20"/>
              </w:rPr>
              <w:t>--warning-bg</w:t>
            </w:r>
          </w:p>
        </w:tc>
        <w:tc>
          <w:tcPr>
            <w:tcW w:type="dxa" w:w="3120"/>
          </w:tcPr>
          <w:p>
            <w:r>
              <w:rPr>
                <w:rFonts w:ascii="Segoe UI" w:hAnsi="Segoe UI"/>
                <w:sz w:val="20"/>
              </w:rPr>
              <w:t>#fff3cd (Світло-жовтий)</w:t>
            </w:r>
          </w:p>
        </w:tc>
        <w:tc>
          <w:tcPr>
            <w:tcW w:type="dxa" w:w="3120"/>
          </w:tcPr>
          <w:p>
            <w:r>
              <w:rPr>
                <w:rFonts w:ascii="Segoe UI" w:hAnsi="Segoe UI"/>
                <w:sz w:val="20"/>
              </w:rPr>
              <w:t>#452a0a (Темно-помаранчевий)</w:t>
            </w:r>
          </w:p>
        </w:tc>
      </w:tr>
    </w:tbl>
    <w:p>
      <w:pPr>
        <w:spacing w:before="240"/>
      </w:pPr>
    </w:p>
    <w:p>
      <w:pPr>
        <w:pStyle w:val="Heading1"/>
        <w:keepNext/>
        <w:spacing w:before="240" w:after="120"/>
      </w:pPr>
      <w:r>
        <w:rPr>
          <w:rFonts w:ascii="Segoe UI" w:hAnsi="Segoe UI"/>
          <w:b/>
          <w:color w:val="006FC9"/>
          <w:sz w:val="36"/>
        </w:rPr>
        <w:t>6. РОЗГОРТАННЯ ТА СИНХРОНІЗАЦІЯ КОДУ</w:t>
      </w:r>
    </w:p>
    <w:p>
      <w:r>
        <w:t>Робота з кодом структурована згідно з наступним робочим процесом:</w:t>
        <w:br/>
        <w:t>1. Всі зміни вносяться безпосередньо в основну директорію розробки (05_Веб_реєстр).</w:t>
        <w:br/>
        <w:t>2. Для перевірки та тестування змін запускається локальний сервер через файл Відкрити_реєстр.cmd. Скрипт server.py забезпечує безкешову доставку файлів.</w:t>
        <w:br/>
        <w:t>3. Після успішного локального тестування запускається автоматизований скрипт синхронізації (sync_git.py), який копіює змінені .html, .css та .js файли в директорію Git-репозиторію (06_GitHub_версія/05_Веб_реєстр).</w:t>
        <w:br/>
        <w:t>4. У репозиторії виконуються команди git add ., git commit -m 'опис змін' та git push, що автоматично ініціює збірку та оновлення публічного хостингу на GitHub Pages.</w:t>
      </w:r>
    </w:p>
    <w:p>
      <w:r>
        <w:t>Для примусового оновлення стилів на пристроях кінцевих користувачів впроваджено кеш-бастінг (cache-busting) — додавання версійних параметрів до імпортованих файлів у тегах HTML (наприклад, href="../auth-v2.css?v=20260606"). При значних оновленнях стилів версія інкрементується.</w:t>
      </w:r>
    </w:p>
    <w:p>
      <w:pPr>
        <w:spacing w:before="720"/>
        <w:jc w:val="right"/>
      </w:pPr>
      <w:r>
        <w:rPr>
          <w:rFonts w:ascii="Segoe UI" w:hAnsi="Segoe UI"/>
          <w:i/>
          <w:color w:val="647688"/>
          <w:sz w:val="19"/>
        </w:rPr>
        <w:t>Розроблено Департаментом стратегії УОНМП НСЗУ,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33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