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B">
      <w:pPr>
        <w:pStyle w:val="Heading1"/>
        <w:shd w:fill="ffffff" w:val="clear"/>
        <w:spacing w:after="240" w:before="240" w:line="276" w:lineRule="auto"/>
        <w:jc w:val="center"/>
        <w:rPr>
          <w:rFonts w:ascii="Times New Roman" w:cs="Times New Roman" w:eastAsia="Times New Roman" w:hAnsi="Times New Roman"/>
          <w:i w:val="1"/>
          <w:iCs w:val="1"/>
          <w:sz w:val="24"/>
          <w:szCs w:val="24"/>
          <w:highlight w:val="white"/>
        </w:rPr>
      </w:pPr>
      <w:bookmarkStart w:colFirst="0" w:colLast="0" w:name="_heading=h.wljw3hr0ugmc" w:id="74"/>
      <w:bookmarkEnd w:id="74"/>
      <w:r w:rsidDel="00000000" w:rsidR="00000000" w:rsidRPr="00000000">
        <w:rPr>
          <w:rFonts w:ascii="Times New Roman" w:cs="Times New Roman" w:eastAsia="Times New Roman" w:hAnsi="Times New Roman"/>
          <w:sz w:val="24"/>
          <w:szCs w:val="24"/>
          <w:rtl w:val="0"/>
        </w:rPr>
        <w:t xml:space="preserve">68.Перехідне фінансове </w:t>
      </w:r>
      <w:r w:rsidDel="00000000" w:rsidR="00000000" w:rsidRPr="00000000">
        <w:rPr>
          <w:rFonts w:ascii="Times New Roman" w:cs="Times New Roman" w:eastAsia="Times New Roman" w:hAnsi="Times New Roman"/>
          <w:sz w:val="24"/>
          <w:szCs w:val="24"/>
          <w:highlight w:val="white"/>
          <w:rtl w:val="0"/>
        </w:rPr>
        <w:t xml:space="preserve">забезпечення надання медичних послуг закладами охорони здоров’я</w:t>
      </w:r>
      <w:r w:rsidDel="00000000" w:rsidR="00000000" w:rsidRPr="00000000">
        <w:rPr>
          <w:rFonts w:ascii="Times New Roman" w:cs="Times New Roman" w:eastAsia="Times New Roman" w:hAnsi="Times New Roman"/>
          <w:i w:val="1"/>
          <w:i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C">
      <w:pPr>
        <w:keepLines w:val="1"/>
        <w:shd w:fill="ffffff" w:val="clear"/>
        <w:spacing w:after="240" w:before="240" w:line="276" w:lineRule="auto"/>
        <w:ind w:right="10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D">
      <w:pPr>
        <w:keepLines w:val="1"/>
        <w:shd w:fill="ffffff" w:val="clear"/>
        <w:spacing w:after="240" w:before="240" w:line="276" w:lineRule="auto"/>
        <w:ind w:right="1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w:t>
      </w:r>
      <w:r w:rsidDel="00000000" w:rsidR="00000000" w:rsidRPr="00000000">
        <w:rPr>
          <w:rFonts w:ascii="Times New Roman" w:cs="Times New Roman" w:eastAsia="Times New Roman" w:hAnsi="Times New Roman"/>
          <w:sz w:val="24"/>
          <w:szCs w:val="24"/>
          <w:highlight w:val="white"/>
          <w:rtl w:val="0"/>
        </w:rPr>
        <w:t xml:space="preserve"> стаціонарно та/або амбулаторно.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E">
      <w:pPr>
        <w:keepLines w:val="1"/>
        <w:shd w:fill="ffffff" w:val="clear"/>
        <w:spacing w:after="240" w:before="240" w:line="276" w:lineRule="auto"/>
        <w:ind w:right="10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F">
      <w:pPr>
        <w:keepLines w:val="1"/>
        <w:shd w:fill="ffffff" w:val="clear"/>
        <w:spacing w:after="240" w:before="240" w:line="276" w:lineRule="auto"/>
        <w:ind w:right="10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0">
      <w:pPr>
        <w:keepLines w:val="1"/>
        <w:shd w:fill="ffffff" w:val="clear"/>
        <w:spacing w:after="0" w:line="276" w:lineRule="auto"/>
        <w:ind w:left="1080" w:right="1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направлення лікаря з надання ПМД, якого обрано за декларацією про вибір лікаря, або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1">
      <w:pPr>
        <w:keepLines w:val="1"/>
        <w:shd w:fill="ffffff" w:val="clear"/>
        <w:spacing w:after="0" w:line="276" w:lineRule="auto"/>
        <w:ind w:left="1080" w:right="1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2">
      <w:pPr>
        <w:keepLines w:val="1"/>
        <w:shd w:fill="ffffff" w:val="clear"/>
        <w:spacing w:after="0" w:line="276" w:lineRule="auto"/>
        <w:ind w:left="1080" w:right="1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направлення з іншого клінічного підрозділу та/або закладу;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3">
      <w:pPr>
        <w:keepLines w:val="1"/>
        <w:shd w:fill="ffffff" w:val="clear"/>
        <w:spacing w:after="0" w:line="276" w:lineRule="auto"/>
        <w:ind w:left="1080" w:right="1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самозвернення у невідкладному стані.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4">
      <w:pPr>
        <w:keepLines w:val="1"/>
        <w:shd w:fill="ffffff" w:val="clear"/>
        <w:spacing w:after="240" w:before="240" w:line="276"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5">
      <w:pPr>
        <w:keepLines w:val="1"/>
        <w:shd w:fill="ffffff" w:val="clear"/>
        <w:spacing w:after="240" w:before="240" w:line="276" w:lineRule="auto"/>
        <w:ind w:right="10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6">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Взаємодія з іншими надавачами медичних послуг для своєчасного та ефективного надання допомоги пацієнткам/пацієнтам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7">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8">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9">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4.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A">
      <w:pPr>
        <w:keepLines w:val="1"/>
        <w:shd w:fill="ffffff" w:val="clear"/>
        <w:spacing w:after="240" w:before="240" w:line="276" w:lineRule="auto"/>
        <w:ind w:right="1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Опис медичних послуг, які будуть надаватися за Договором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B">
      <w:pPr>
        <w:keepLines w:val="1"/>
        <w:shd w:fill="ffffff" w:val="clear"/>
        <w:spacing w:after="240" w:before="240" w:line="276"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належного виконання Договору надавач медичних послуг зобов’язується забезпечити наступний обсяг послуги (специфікація) відповідно до потреб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C">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закладом охорони здоров’я спеціалізованої (стаціонарної/амбулаторної) та/або паліативної медичної допомоги, та/або медичних послуг з медичної реабілітації дорослим та дітям до 16 років, та/або медичної допомоги у зв’язку з вагітністю та пологами.</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