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030" w:rsidRPr="00C25557" w:rsidRDefault="00396030" w:rsidP="00396030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ДІАГНОСТИКА ТА ЛІКУВАННЯ ДОРОСЛИХ І ДІТЕЙ ІЗ ТУБЕРКУЛЬОЗОМ У АМБУЛАТОРНИХ ТА СТАЦІОНАРНИХ УМОВАХ</w:t>
      </w:r>
    </w:p>
    <w:p w:rsidR="00396030" w:rsidRPr="00C25557" w:rsidRDefault="00396030" w:rsidP="00396030">
      <w:pPr>
        <w:spacing w:line="240" w:lineRule="auto"/>
        <w:ind w:left="1400" w:hanging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1. Консультування, амбулаторна та стаціонарна медична допомога пацієнтам з туберкульозом (ТБ).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2. Проведення необхідних лабораторних досліджень для моніторингу лікування: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розгорнутий клінічний аналіз крові;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визначення групи крові і резус фактору;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c</w:t>
      </w:r>
      <w:r w:rsidRPr="008546D6">
        <w:rPr>
          <w:lang w:val="ru-RU"/>
        </w:rPr>
        <w:t>. біохімічний аналіз крові (загальний білок, альбумін альфа-амілаза, аспартатамінотрансфераза (АсАТ), аланінамінотрансфераза (АлАТ), лужна фосфатаза, білірубін і його фракції (загальний, прямий, непрямий), тимолова проба, креатинін, сечовина, сечова кислота, молочна кислота/лактат електроліти (калій, натрій, кальцій, хлор, магній), С-реактивний білок (</w:t>
      </w:r>
      <w:r w:rsidRPr="00C25557">
        <w:t>CRP</w:t>
      </w:r>
      <w:r w:rsidRPr="008546D6">
        <w:rPr>
          <w:lang w:val="ru-RU"/>
        </w:rPr>
        <w:t xml:space="preserve">, кількісне визначення));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коагуляційний гемостаз (тромбіновий час, активований частковий (парціальний) тромбопластиновий час (АЧТЧ, АПТЧ), міжнародне нормалізоване відношення (МНВ));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e</w:t>
      </w:r>
      <w:r w:rsidRPr="008546D6">
        <w:rPr>
          <w:lang w:val="ru-RU"/>
        </w:rPr>
        <w:t xml:space="preserve">. тиреотропний гормон (ТТГ);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f</w:t>
      </w:r>
      <w:r w:rsidRPr="008546D6">
        <w:rPr>
          <w:lang w:val="ru-RU"/>
        </w:rPr>
        <w:t xml:space="preserve">. глюкоза в цільній крові або сироватці крові;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g</w:t>
      </w:r>
      <w:r w:rsidRPr="008546D6">
        <w:rPr>
          <w:lang w:val="ru-RU"/>
        </w:rPr>
        <w:t xml:space="preserve">. дослідження спинномозкової рідини;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h</w:t>
      </w:r>
      <w:r w:rsidRPr="008546D6">
        <w:rPr>
          <w:lang w:val="ru-RU"/>
        </w:rPr>
        <w:t xml:space="preserve">. загальний аналіз сечі;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i</w:t>
      </w:r>
      <w:r w:rsidRPr="008546D6">
        <w:rPr>
          <w:lang w:val="ru-RU"/>
        </w:rPr>
        <w:t xml:space="preserve">. швидкі тести на вагітність, ВІЛ та вірусні гепатити;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j</w:t>
      </w:r>
      <w:r w:rsidRPr="008546D6">
        <w:rPr>
          <w:lang w:val="ru-RU"/>
        </w:rPr>
        <w:t xml:space="preserve">. бактеріоскопічне дослідження мокротиння та інших зразків біологічного матеріалу на наявність кислотостійких бактерій (КСБ);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k</w:t>
      </w:r>
      <w:r w:rsidRPr="008546D6">
        <w:rPr>
          <w:lang w:val="ru-RU"/>
        </w:rPr>
        <w:t xml:space="preserve">. культуральне дослідження мокротиння та інших зразків біологічного матеріалу на наявність мікобактерії туберкульозу (МБТ) з проведенням ідентифікації та тест на медикаментозну чутливість (ТМЧ);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l</w:t>
      </w:r>
      <w:r w:rsidRPr="008546D6">
        <w:rPr>
          <w:lang w:val="ru-RU"/>
        </w:rPr>
        <w:t xml:space="preserve">. бактеріологічні дослідження зразків біологічного матеріалу з визначенням мікроорганізмів та їх антибіотикорезистентності;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m</w:t>
      </w:r>
      <w:r w:rsidRPr="008546D6">
        <w:rPr>
          <w:lang w:val="ru-RU"/>
        </w:rPr>
        <w:t xml:space="preserve">. цитологічне, гістологічне дослідження біопсійного матеріалу уражених органів;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n</w:t>
      </w:r>
      <w:r w:rsidRPr="008546D6">
        <w:rPr>
          <w:lang w:val="ru-RU"/>
        </w:rPr>
        <w:t xml:space="preserve">. молекулярно-генетичні дослідження мокротиння та інших зразків біологічного матеріалу на наявність МБТ, та наявності у них стійкості до протитуберкульозних препаратів;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o</w:t>
      </w:r>
      <w:r w:rsidRPr="008546D6">
        <w:rPr>
          <w:lang w:val="ru-RU"/>
        </w:rPr>
        <w:t xml:space="preserve">. імуноферментні дослідження, у тому числі на туберкульоз;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p</w:t>
      </w:r>
      <w:r w:rsidRPr="008546D6">
        <w:rPr>
          <w:lang w:val="ru-RU"/>
        </w:rPr>
        <w:t xml:space="preserve">. інші лабораторні дослідження відповідно до потреб пацієнтів.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3. Проведення необхідних інструментальних обстежень, зокрема: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рентгенологічні дослідження, в тому числі комп’ютерна томографія;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ультразвукові дослідження;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електрокардіографія (ЕКГ);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ендоскопічні дослідження, в тому числі бронхоскопія;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e</w:t>
      </w:r>
      <w:r w:rsidRPr="008546D6">
        <w:rPr>
          <w:lang w:val="ru-RU"/>
        </w:rPr>
        <w:t xml:space="preserve">. інші інструментальні дослідження відповідно до потреб пацієнтів.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4. Визначення плану лікування та спостереження за пацієнтом із ТБ, в тому числі: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розробка індивідуального плану лікування пацієнтів на амбулаторному та/або стаціонарному етапі з урахуванням супутніх захворювань пацієнта/пацієнтки;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оцінка та формування прихильності пацієнта/пацієнтки до лікування, визначення чинників, які негативно впливають на її формування та відповідне коригування плану лікування, в тому числі із залученням соціальних працівників;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консультування пацієнтів лікарями-фтизіатрами та лікарями інших спеціальностей;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призначення протитуберкульозної терапії, корекція лікування з урахуванням чутливості/резистентності мікроорганізмів до медикаментів, побічних реакцій, наявності супутньої патології, індивідуальних особливостей пацієнта/пацієнтки тощо;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lastRenderedPageBreak/>
        <w:t>e</w:t>
      </w:r>
      <w:r w:rsidRPr="008546D6">
        <w:rPr>
          <w:lang w:val="ru-RU"/>
        </w:rPr>
        <w:t xml:space="preserve">. визначення показань до госпіталізації пацієнта/пацієнтки та його/її госпіталізація у разі їх наявності;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f</w:t>
      </w:r>
      <w:r w:rsidRPr="008546D6">
        <w:rPr>
          <w:lang w:val="ru-RU"/>
        </w:rPr>
        <w:t xml:space="preserve">. організація амбулаторного лікування туберкульозу, в тому числі із залученням лікарів ПМД та лікарів-фтизіатрів, які надають амбулаторну вторинну (спеціалізовану) та третинну (високоспеціалізовану) медичну допомогу на базі інших закладів охорони здоров’я (міжрайонні фтизіатри).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5. Забезпечення проведення медикаментозної терапії лікарськими засобами, постачання яких здійснюється шляхом централізованих закупівель МОЗ, а також лікарськими засобами, визначеними Національним переліком основних лікарських засобів.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6. Виявлення, діагностика та лікування супутніх захворювань із залученням інших спеціалістів або направлення пацієнта/пацієнтки для отримання відповідних медичних послуг.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7. Моніторинг результатів ефективності та безпеки лікування пацієнта/пацієнтки та побічних реакцій на протитуберкульозні препарати: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контроль за дотриманням плану лікування пацієнта/пацієнтки;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контроль за результатами лабораторно-інструментальних обстежень, мікробіологічних та інших досліджень;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контроль за побічними реакціями на протитуберкульозні препарати та дотримання тактики дій при їх виявленні в межах чинного законодавства.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8. Своєчасне знеболення на всіх етапах діагностики та лікування: обов’язкове анестезіологічне забезпечення під час виконання всіх інвазивних діагностичних та інших лікувальних процедур.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9. Надання необхідної допомоги пацієнтам із туберкульозом мультидисциплінарною командою з питань медико-психологічного та соціального супроводу з метою забезпечення доступу до необхідної послуги та подальшого досягнення ефективного результату лікування.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10. Реабілітація у сфері охорони здоров’я пацієнтів з туберкульозом при проходженні лікування в умовах стаціонару.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11. Надання невідкладної медичної допомоги пацієнтам, які перебувають у невідкладних станах, зокрема при раптовому погіршенні фізичного або психічного здоров'я, яке становить пряму та невідворотну загрозу життю та здоров'ю людини або оточуючих її людей і виникає внаслідок хвороби, травми, отруєння або інших внутрішніх чи зовнішніх причин. </w:t>
      </w:r>
    </w:p>
    <w:p w:rsidR="00396030" w:rsidRPr="008546D6" w:rsidRDefault="00396030" w:rsidP="00396030">
      <w:pPr>
        <w:pStyle w:val="Default"/>
        <w:rPr>
          <w:lang w:val="ru-RU"/>
        </w:rPr>
      </w:pPr>
      <w:r w:rsidRPr="008546D6">
        <w:rPr>
          <w:lang w:val="ru-RU"/>
        </w:rPr>
        <w:t xml:space="preserve">12. Забезпечення харчування в умовах стаціонару. </w:t>
      </w:r>
    </w:p>
    <w:p w:rsidR="006731F7" w:rsidRPr="00396030" w:rsidRDefault="006731F7" w:rsidP="00396030">
      <w:bookmarkStart w:id="0" w:name="_GoBack"/>
      <w:bookmarkEnd w:id="0"/>
    </w:p>
    <w:sectPr w:rsidR="006731F7" w:rsidRPr="00396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5124"/>
    <w:multiLevelType w:val="multilevel"/>
    <w:tmpl w:val="1E0ACDD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B06ED1"/>
    <w:multiLevelType w:val="multilevel"/>
    <w:tmpl w:val="38A4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12F12"/>
    <w:multiLevelType w:val="multilevel"/>
    <w:tmpl w:val="132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A35D5"/>
    <w:multiLevelType w:val="multilevel"/>
    <w:tmpl w:val="DE56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34136"/>
    <w:multiLevelType w:val="multilevel"/>
    <w:tmpl w:val="D04C99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CA48E1"/>
    <w:multiLevelType w:val="multilevel"/>
    <w:tmpl w:val="35F69A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6835DB"/>
    <w:multiLevelType w:val="multilevel"/>
    <w:tmpl w:val="A962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E1669B9"/>
    <w:multiLevelType w:val="multilevel"/>
    <w:tmpl w:val="72EA08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8D23FC1"/>
    <w:multiLevelType w:val="multilevel"/>
    <w:tmpl w:val="203C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E37343"/>
    <w:multiLevelType w:val="multilevel"/>
    <w:tmpl w:val="29D8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E810E1"/>
    <w:multiLevelType w:val="multilevel"/>
    <w:tmpl w:val="8E90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072D7"/>
    <w:multiLevelType w:val="multilevel"/>
    <w:tmpl w:val="CDF6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50089"/>
    <w:multiLevelType w:val="multilevel"/>
    <w:tmpl w:val="5872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92F88"/>
    <w:multiLevelType w:val="multilevel"/>
    <w:tmpl w:val="451A8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A61115"/>
    <w:multiLevelType w:val="multilevel"/>
    <w:tmpl w:val="06484E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9971B3"/>
    <w:multiLevelType w:val="multilevel"/>
    <w:tmpl w:val="7B56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82F71"/>
    <w:multiLevelType w:val="multilevel"/>
    <w:tmpl w:val="6882D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714E67"/>
    <w:multiLevelType w:val="multilevel"/>
    <w:tmpl w:val="1E64285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62E6622B"/>
    <w:multiLevelType w:val="multilevel"/>
    <w:tmpl w:val="93CC9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636782"/>
    <w:multiLevelType w:val="multilevel"/>
    <w:tmpl w:val="6EA63D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F0299E"/>
    <w:multiLevelType w:val="multilevel"/>
    <w:tmpl w:val="BFDC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0C576C5"/>
    <w:multiLevelType w:val="multilevel"/>
    <w:tmpl w:val="8826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70EBA"/>
    <w:multiLevelType w:val="multilevel"/>
    <w:tmpl w:val="4E72E38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7AC36016"/>
    <w:multiLevelType w:val="multilevel"/>
    <w:tmpl w:val="F64A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23"/>
  </w:num>
  <w:num w:numId="3">
    <w:abstractNumId w:val="10"/>
  </w:num>
  <w:num w:numId="4">
    <w:abstractNumId w:val="27"/>
  </w:num>
  <w:num w:numId="5">
    <w:abstractNumId w:val="4"/>
  </w:num>
  <w:num w:numId="6">
    <w:abstractNumId w:val="15"/>
  </w:num>
  <w:num w:numId="7">
    <w:abstractNumId w:val="6"/>
  </w:num>
  <w:num w:numId="8">
    <w:abstractNumId w:val="7"/>
  </w:num>
  <w:num w:numId="9">
    <w:abstractNumId w:val="21"/>
  </w:num>
  <w:num w:numId="10">
    <w:abstractNumId w:val="5"/>
  </w:num>
  <w:num w:numId="11">
    <w:abstractNumId w:val="0"/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4"/>
    <w:lvlOverride w:ilvl="1">
      <w:lvl w:ilvl="1">
        <w:numFmt w:val="lowerLetter"/>
        <w:lvlText w:val="%2."/>
        <w:lvlJc w:val="left"/>
      </w:lvl>
    </w:lvlOverride>
  </w:num>
  <w:num w:numId="16">
    <w:abstractNumId w:val="14"/>
    <w:lvlOverride w:ilvl="1">
      <w:lvl w:ilvl="1">
        <w:numFmt w:val="lowerLetter"/>
        <w:lvlText w:val="%2."/>
        <w:lvlJc w:val="left"/>
      </w:lvl>
    </w:lvlOverride>
  </w:num>
  <w:num w:numId="17">
    <w:abstractNumId w:val="14"/>
    <w:lvlOverride w:ilvl="1">
      <w:lvl w:ilvl="1">
        <w:numFmt w:val="lowerLetter"/>
        <w:lvlText w:val="%2."/>
        <w:lvlJc w:val="left"/>
      </w:lvl>
    </w:lvlOverride>
  </w:num>
  <w:num w:numId="18">
    <w:abstractNumId w:val="14"/>
    <w:lvlOverride w:ilvl="1">
      <w:lvl w:ilvl="1">
        <w:numFmt w:val="lowerLetter"/>
        <w:lvlText w:val="%2."/>
        <w:lvlJc w:val="left"/>
      </w:lvl>
    </w:lvlOverride>
  </w:num>
  <w:num w:numId="19">
    <w:abstractNumId w:val="2"/>
  </w:num>
  <w:num w:numId="20">
    <w:abstractNumId w:val="22"/>
  </w:num>
  <w:num w:numId="21">
    <w:abstractNumId w:val="13"/>
  </w:num>
  <w:num w:numId="22">
    <w:abstractNumId w:val="3"/>
  </w:num>
  <w:num w:numId="23">
    <w:abstractNumId w:val="3"/>
    <w:lvlOverride w:ilvl="1">
      <w:lvl w:ilvl="1">
        <w:numFmt w:val="lowerLetter"/>
        <w:lvlText w:val="%2."/>
        <w:lvlJc w:val="left"/>
      </w:lvl>
    </w:lvlOverride>
  </w:num>
  <w:num w:numId="24">
    <w:abstractNumId w:val="3"/>
    <w:lvlOverride w:ilvl="1">
      <w:lvl w:ilvl="1">
        <w:numFmt w:val="lowerLetter"/>
        <w:lvlText w:val="%2."/>
        <w:lvlJc w:val="left"/>
      </w:lvl>
    </w:lvlOverride>
  </w:num>
  <w:num w:numId="25">
    <w:abstractNumId w:val="3"/>
    <w:lvlOverride w:ilvl="1">
      <w:lvl w:ilvl="1">
        <w:numFmt w:val="lowerLetter"/>
        <w:lvlText w:val="%2."/>
        <w:lvlJc w:val="left"/>
      </w:lvl>
    </w:lvlOverride>
  </w:num>
  <w:num w:numId="26">
    <w:abstractNumId w:val="3"/>
    <w:lvlOverride w:ilvl="1">
      <w:lvl w:ilvl="1">
        <w:numFmt w:val="lowerLetter"/>
        <w:lvlText w:val="%2."/>
        <w:lvlJc w:val="left"/>
      </w:lvl>
    </w:lvlOverride>
  </w:num>
  <w:num w:numId="27">
    <w:abstractNumId w:val="9"/>
  </w:num>
  <w:num w:numId="28">
    <w:abstractNumId w:val="1"/>
  </w:num>
  <w:num w:numId="29">
    <w:abstractNumId w:val="12"/>
  </w:num>
  <w:num w:numId="30">
    <w:abstractNumId w:val="24"/>
  </w:num>
  <w:num w:numId="31">
    <w:abstractNumId w:val="26"/>
    <w:lvlOverride w:ilvl="0">
      <w:lvl w:ilvl="0">
        <w:numFmt w:val="lowerLetter"/>
        <w:lvlText w:val="%1."/>
        <w:lvlJc w:val="left"/>
      </w:lvl>
    </w:lvlOverride>
  </w:num>
  <w:num w:numId="32">
    <w:abstractNumId w:val="20"/>
    <w:lvlOverride w:ilvl="0">
      <w:lvl w:ilvl="0">
        <w:numFmt w:val="decimal"/>
        <w:lvlText w:val="%1."/>
        <w:lvlJc w:val="left"/>
      </w:lvl>
    </w:lvlOverride>
  </w:num>
  <w:num w:numId="33">
    <w:abstractNumId w:val="17"/>
    <w:lvlOverride w:ilvl="0">
      <w:lvl w:ilvl="0">
        <w:numFmt w:val="lowerLetter"/>
        <w:lvlText w:val="%1."/>
        <w:lvlJc w:val="left"/>
      </w:lvl>
    </w:lvlOverride>
  </w:num>
  <w:num w:numId="34">
    <w:abstractNumId w:val="16"/>
    <w:lvlOverride w:ilvl="0">
      <w:lvl w:ilvl="0">
        <w:numFmt w:val="decimal"/>
        <w:lvlText w:val="%1."/>
        <w:lvlJc w:val="left"/>
      </w:lvl>
    </w:lvlOverride>
  </w:num>
  <w:num w:numId="35">
    <w:abstractNumId w:val="11"/>
    <w:lvlOverride w:ilvl="0">
      <w:lvl w:ilvl="0">
        <w:numFmt w:val="lowerLetter"/>
        <w:lvlText w:val="%1."/>
        <w:lvlJc w:val="left"/>
      </w:lvl>
    </w:lvlOverride>
  </w:num>
  <w:num w:numId="36">
    <w:abstractNumId w:val="18"/>
    <w:lvlOverride w:ilvl="0">
      <w:lvl w:ilvl="0">
        <w:numFmt w:val="decimal"/>
        <w:lvlText w:val="%1."/>
        <w:lvlJc w:val="left"/>
      </w:lvl>
    </w:lvlOverride>
  </w:num>
  <w:num w:numId="37">
    <w:abstractNumId w:val="18"/>
    <w:lvlOverride w:ilvl="0">
      <w:lvl w:ilvl="0">
        <w:numFmt w:val="decimal"/>
        <w:lvlText w:val="%1."/>
        <w:lvlJc w:val="left"/>
      </w:lvl>
    </w:lvlOverride>
  </w:num>
  <w:num w:numId="38">
    <w:abstractNumId w:val="18"/>
    <w:lvlOverride w:ilvl="0">
      <w:lvl w:ilvl="0">
        <w:numFmt w:val="decimal"/>
        <w:lvlText w:val="%1."/>
        <w:lvlJc w:val="left"/>
      </w:lvl>
    </w:lvlOverride>
  </w:num>
  <w:num w:numId="39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0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1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2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3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4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0E73F8"/>
    <w:rsid w:val="00157984"/>
    <w:rsid w:val="00174738"/>
    <w:rsid w:val="002018F8"/>
    <w:rsid w:val="00396030"/>
    <w:rsid w:val="003C29AC"/>
    <w:rsid w:val="006731F7"/>
    <w:rsid w:val="006C43E2"/>
    <w:rsid w:val="007B0086"/>
    <w:rsid w:val="00822DF8"/>
    <w:rsid w:val="00895034"/>
    <w:rsid w:val="008D2A75"/>
    <w:rsid w:val="00901506"/>
    <w:rsid w:val="00993769"/>
    <w:rsid w:val="00C47F4E"/>
    <w:rsid w:val="00DC35BC"/>
    <w:rsid w:val="00F2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3960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7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2021-07-30T14:53:00Z</dcterms:created>
  <dcterms:modified xsi:type="dcterms:W3CDTF">2022-02-07T09:25:00Z</dcterms:modified>
</cp:coreProperties>
</file>