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74DE" w:rsidRPr="00C25557" w:rsidRDefault="00EB74DE" w:rsidP="00EB74DE">
      <w:pPr>
        <w:pStyle w:val="2"/>
        <w:spacing w:before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5557">
        <w:rPr>
          <w:rFonts w:ascii="Times New Roman" w:eastAsia="Times New Roman" w:hAnsi="Times New Roman" w:cs="Times New Roman"/>
          <w:b/>
          <w:sz w:val="24"/>
          <w:szCs w:val="24"/>
        </w:rPr>
        <w:t>ХІРУРГІЧНІ ОПЕРАЦІЇ ДОРОСЛИМ ТА ДІТЯМ У СТАЦІОНАРНИХ УМОВАХ</w:t>
      </w:r>
    </w:p>
    <w:p w:rsidR="00EB74DE" w:rsidRPr="00C25557" w:rsidRDefault="00EB74DE" w:rsidP="00EB74D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EB74DE" w:rsidRPr="00C25557" w:rsidRDefault="00EB74DE" w:rsidP="00EB74DE">
      <w:pPr>
        <w:spacing w:line="240" w:lineRule="auto"/>
        <w:ind w:left="1400" w:hanging="70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EB74DE" w:rsidRPr="00C25557" w:rsidRDefault="00EB74DE" w:rsidP="00EB74DE">
      <w:pPr>
        <w:spacing w:line="240" w:lineRule="auto"/>
        <w:ind w:left="-180"/>
        <w:jc w:val="center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Обсяг медичних послуг, який надавач зобов’язується надавати за договором відповідно до медичних потреб пацієнта/пацієнтки (специфікація)</w:t>
      </w:r>
    </w:p>
    <w:p w:rsidR="00EB74DE" w:rsidRPr="00C25557" w:rsidRDefault="00EB74DE" w:rsidP="00EB74DE">
      <w:pPr>
        <w:numPr>
          <w:ilvl w:val="0"/>
          <w:numId w:val="20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Первинний огляд пацієнта/пацієнтки лікарем з визначенням його/її маршрутизації.</w:t>
      </w:r>
    </w:p>
    <w:p w:rsidR="00EB74DE" w:rsidRPr="00C25557" w:rsidRDefault="00EB74DE" w:rsidP="00EB74DE">
      <w:pPr>
        <w:numPr>
          <w:ilvl w:val="0"/>
          <w:numId w:val="20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Проведення необхідних лабораторних обстежень, зокрема:</w:t>
      </w:r>
    </w:p>
    <w:p w:rsidR="00EB74DE" w:rsidRPr="00C25557" w:rsidRDefault="00EB74DE" w:rsidP="00EB74DE">
      <w:pPr>
        <w:numPr>
          <w:ilvl w:val="0"/>
          <w:numId w:val="21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розгорнутий клінічний аналіз крові;</w:t>
      </w:r>
    </w:p>
    <w:p w:rsidR="00EB74DE" w:rsidRPr="00C25557" w:rsidRDefault="00EB74DE" w:rsidP="00EB74DE">
      <w:pPr>
        <w:numPr>
          <w:ilvl w:val="0"/>
          <w:numId w:val="21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визначення групи крові і резус фактору;</w:t>
      </w:r>
    </w:p>
    <w:p w:rsidR="00EB74DE" w:rsidRPr="00C25557" w:rsidRDefault="00EB74DE" w:rsidP="00EB74DE">
      <w:pPr>
        <w:numPr>
          <w:ilvl w:val="0"/>
          <w:numId w:val="21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біохімічний аналіз крові (загальний білок, альфа-амілаза, аспартатамінотрансфераза (АсАТ), аланінамінотрансфераза (АлАТ), білірубін і його фракції (загальний, прямий, непрямий), креатинін, сечовина, сечова кислота, електроліти (натрій, калій, магній, кальцій, хлор));</w:t>
      </w:r>
    </w:p>
    <w:p w:rsidR="00EB74DE" w:rsidRPr="00C25557" w:rsidRDefault="00EB74DE" w:rsidP="00EB74DE">
      <w:pPr>
        <w:numPr>
          <w:ilvl w:val="0"/>
          <w:numId w:val="21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коагуляційний гемостаз (тромбіновий час, активований частковий (парціальний) тромбопластиновий час (АЧТЧ, АПТЧ), міжнародне нормалізоване відношення (МНВ),</w:t>
      </w:r>
      <w:r w:rsidRPr="00C25557">
        <w:rPr>
          <w:rFonts w:ascii="Times New Roman" w:hAnsi="Times New Roman" w:cs="Times New Roman"/>
          <w:b/>
          <w:bCs/>
          <w:i/>
          <w:iCs/>
          <w:sz w:val="24"/>
          <w:szCs w:val="24"/>
          <w:shd w:val="clear" w:color="auto" w:fill="FFFFFF"/>
        </w:rPr>
        <w:t xml:space="preserve"> </w:t>
      </w: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Д-дімер);</w:t>
      </w:r>
    </w:p>
    <w:p w:rsidR="00EB74DE" w:rsidRPr="00C25557" w:rsidRDefault="00EB74DE" w:rsidP="00EB74DE">
      <w:pPr>
        <w:numPr>
          <w:ilvl w:val="0"/>
          <w:numId w:val="21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глюкоза в цільній крові або сироватці крові;</w:t>
      </w:r>
    </w:p>
    <w:p w:rsidR="00EB74DE" w:rsidRPr="00C25557" w:rsidRDefault="00EB74DE" w:rsidP="00EB74DE">
      <w:pPr>
        <w:numPr>
          <w:ilvl w:val="0"/>
          <w:numId w:val="21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С-реактивний білок (CRP, кількісне визначення);</w:t>
      </w:r>
    </w:p>
    <w:p w:rsidR="00EB74DE" w:rsidRPr="00C25557" w:rsidRDefault="00EB74DE" w:rsidP="00EB74DE">
      <w:pPr>
        <w:numPr>
          <w:ilvl w:val="0"/>
          <w:numId w:val="21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дослідження спинномозкової рідини;</w:t>
      </w:r>
    </w:p>
    <w:p w:rsidR="00EB74DE" w:rsidRPr="00C25557" w:rsidRDefault="00EB74DE" w:rsidP="00EB74DE">
      <w:pPr>
        <w:numPr>
          <w:ilvl w:val="0"/>
          <w:numId w:val="21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тестування на сифіліс, гепатити, ВІЛ, SARS-CoV-2;</w:t>
      </w:r>
    </w:p>
    <w:p w:rsidR="00EB74DE" w:rsidRPr="00C25557" w:rsidRDefault="00EB74DE" w:rsidP="00EB74DE">
      <w:pPr>
        <w:numPr>
          <w:ilvl w:val="0"/>
          <w:numId w:val="21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загальний аналіз сечі;</w:t>
      </w:r>
    </w:p>
    <w:p w:rsidR="00EB74DE" w:rsidRPr="00C25557" w:rsidRDefault="00EB74DE" w:rsidP="00EB74DE">
      <w:pPr>
        <w:numPr>
          <w:ilvl w:val="0"/>
          <w:numId w:val="21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бактеріологічні дослідження;</w:t>
      </w:r>
    </w:p>
    <w:p w:rsidR="00EB74DE" w:rsidRPr="00C25557" w:rsidRDefault="00EB74DE" w:rsidP="00EB74DE">
      <w:pPr>
        <w:numPr>
          <w:ilvl w:val="0"/>
          <w:numId w:val="21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гістологічні дослідження;</w:t>
      </w:r>
    </w:p>
    <w:p w:rsidR="00EB74DE" w:rsidRPr="00C25557" w:rsidRDefault="00EB74DE" w:rsidP="00EB74DE">
      <w:pPr>
        <w:numPr>
          <w:ilvl w:val="0"/>
          <w:numId w:val="21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цитологічні дослідження;</w:t>
      </w:r>
    </w:p>
    <w:p w:rsidR="00EB74DE" w:rsidRPr="00C25557" w:rsidRDefault="00EB74DE" w:rsidP="00EB74DE">
      <w:pPr>
        <w:numPr>
          <w:ilvl w:val="0"/>
          <w:numId w:val="21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патоморфологічні дослідження;</w:t>
      </w:r>
    </w:p>
    <w:p w:rsidR="00EB74DE" w:rsidRPr="00C25557" w:rsidRDefault="00EB74DE" w:rsidP="00EB74DE">
      <w:pPr>
        <w:numPr>
          <w:ilvl w:val="0"/>
          <w:numId w:val="21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інші лабораторні дослідження відповідно до потреб пацієнтів.</w:t>
      </w:r>
    </w:p>
    <w:p w:rsidR="00EB74DE" w:rsidRPr="00C25557" w:rsidRDefault="00EB74DE" w:rsidP="00EB74DE">
      <w:pPr>
        <w:numPr>
          <w:ilvl w:val="0"/>
          <w:numId w:val="22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Проведення необхідних інструментальних обстежень відповідно до галузевих стандартів у сфері охорони здоров’я, зокрема:</w:t>
      </w:r>
    </w:p>
    <w:p w:rsidR="00EB74DE" w:rsidRPr="00C25557" w:rsidRDefault="00EB74DE" w:rsidP="00EB74DE">
      <w:pPr>
        <w:numPr>
          <w:ilvl w:val="0"/>
          <w:numId w:val="23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електрокардіографія (ЕКГ);</w:t>
      </w:r>
    </w:p>
    <w:p w:rsidR="00EB74DE" w:rsidRPr="00C25557" w:rsidRDefault="00EB74DE" w:rsidP="00EB74DE">
      <w:pPr>
        <w:numPr>
          <w:ilvl w:val="0"/>
          <w:numId w:val="23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ультразвукові дослідження, в тому числі із проведенням доплерографії та ехокардіографії;</w:t>
      </w:r>
    </w:p>
    <w:p w:rsidR="00EB74DE" w:rsidRPr="00C25557" w:rsidRDefault="00EB74DE" w:rsidP="00EB74DE">
      <w:pPr>
        <w:numPr>
          <w:ilvl w:val="0"/>
          <w:numId w:val="23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ендоскопічні дослідження;</w:t>
      </w:r>
    </w:p>
    <w:p w:rsidR="00EB74DE" w:rsidRPr="00C25557" w:rsidRDefault="00EB74DE" w:rsidP="00EB74DE">
      <w:pPr>
        <w:numPr>
          <w:ilvl w:val="0"/>
          <w:numId w:val="23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рентгенологічні дослідження; </w:t>
      </w:r>
    </w:p>
    <w:p w:rsidR="00EB74DE" w:rsidRPr="00C25557" w:rsidRDefault="00EB74DE" w:rsidP="00EB74DE">
      <w:pPr>
        <w:numPr>
          <w:ilvl w:val="0"/>
          <w:numId w:val="23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комп’ютерна томографія (в тому числі з внутрішньовенним контрастуванням);</w:t>
      </w:r>
    </w:p>
    <w:p w:rsidR="00EB74DE" w:rsidRPr="00C25557" w:rsidRDefault="00EB74DE" w:rsidP="00EB74DE">
      <w:pPr>
        <w:numPr>
          <w:ilvl w:val="0"/>
          <w:numId w:val="23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магнітно-резонансна томографія (в тому числі з внутрішньовенним контрастуванням);</w:t>
      </w:r>
    </w:p>
    <w:p w:rsidR="00EB74DE" w:rsidRPr="00C25557" w:rsidRDefault="00EB74DE" w:rsidP="00EB74DE">
      <w:pPr>
        <w:numPr>
          <w:ilvl w:val="0"/>
          <w:numId w:val="23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інші інструментальні дослідження відповідно до потреб пацієнтів.</w:t>
      </w:r>
    </w:p>
    <w:p w:rsidR="00EB74DE" w:rsidRPr="00C25557" w:rsidRDefault="00EB74DE" w:rsidP="00EB74DE">
      <w:pPr>
        <w:numPr>
          <w:ilvl w:val="0"/>
          <w:numId w:val="24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Передопераційний огляд пацієнта/пацієнтки лікарем-анестезіологом або лікарем-анестезіологом дитячим (за умови надання допомоги дітям). </w:t>
      </w:r>
    </w:p>
    <w:p w:rsidR="00EB74DE" w:rsidRPr="00C25557" w:rsidRDefault="00EB74DE" w:rsidP="00EB74DE">
      <w:pPr>
        <w:numPr>
          <w:ilvl w:val="0"/>
          <w:numId w:val="24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Проведення хірургічних операцій.</w:t>
      </w:r>
    </w:p>
    <w:p w:rsidR="00EB74DE" w:rsidRPr="00C25557" w:rsidRDefault="00EB74DE" w:rsidP="00EB74DE">
      <w:pPr>
        <w:numPr>
          <w:ilvl w:val="0"/>
          <w:numId w:val="24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Своєчасне знеболення, анестезіологічне забезпечення, при необхідності – процедурна седація, на всіх етапах діагностики та лікування, цілодобовий доступ до ненаркотичних та наркотичних знеболювальних засобів. Забезпечення анестезії та анестезіологічного моніторингу під час проведення хірургічних операцій та обстежень. </w:t>
      </w:r>
    </w:p>
    <w:p w:rsidR="00EB74DE" w:rsidRPr="00C25557" w:rsidRDefault="00EB74DE" w:rsidP="00EB74DE">
      <w:pPr>
        <w:numPr>
          <w:ilvl w:val="0"/>
          <w:numId w:val="24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Проведення інтенсивної терапії пацієнтам у випадку виникнення у них загрозливих для життя станів.</w:t>
      </w:r>
    </w:p>
    <w:p w:rsidR="00EB74DE" w:rsidRPr="00C25557" w:rsidRDefault="00EB74DE" w:rsidP="00EB74DE">
      <w:pPr>
        <w:numPr>
          <w:ilvl w:val="0"/>
          <w:numId w:val="24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Забезпечення післяопераційного моніторингу та подальшої медикаментозної терапії.</w:t>
      </w:r>
    </w:p>
    <w:p w:rsidR="00EB74DE" w:rsidRPr="00C25557" w:rsidRDefault="00EB74DE" w:rsidP="00EB74DE">
      <w:pPr>
        <w:numPr>
          <w:ilvl w:val="0"/>
          <w:numId w:val="24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Наявність рішення мультидисциплінарної онкологічної групи спеціалістів (консиліуму) щодо планового оперативного втручання з приводу злоякісного новоутворення. У випадку виявлення новоутворення під час ургентного або планового оперативного втручання – проведення забору гістологічного матеріалу та </w:t>
      </w: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гістологічного дослідження та направлення пацієнта/пацієнтки з підозрою на онкологічне захворювання з висновками гістологічного дослідження на мультидисциплінарний (онкологічний) консиліум (групу спеціалістів).</w:t>
      </w:r>
    </w:p>
    <w:p w:rsidR="00EB74DE" w:rsidRPr="00C25557" w:rsidRDefault="00EB74DE" w:rsidP="00EB74DE">
      <w:pPr>
        <w:numPr>
          <w:ilvl w:val="0"/>
          <w:numId w:val="24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Забезпечення лікарськими засобами, постачання яких здійснюється шляхом централізованих закупівель МОЗ, за рахунок інших програм центрального та місцевого бюджетів, а також лікарськими засобами, визначеними Національним переліком основних лікарських засобів, необхідними медичними виробами та витратними матеріалами відповідно до галузевих стандартів у сфері охорони здоров’я та медико-технологічних документів.</w:t>
      </w:r>
    </w:p>
    <w:p w:rsidR="00EB74DE" w:rsidRPr="00C25557" w:rsidRDefault="00EB74DE" w:rsidP="00EB74DE">
      <w:pPr>
        <w:numPr>
          <w:ilvl w:val="0"/>
          <w:numId w:val="24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Забезпечення цілодобового лікарського та медсестринського догляду за пацієнтами.</w:t>
      </w:r>
    </w:p>
    <w:p w:rsidR="00EB74DE" w:rsidRPr="00C25557" w:rsidRDefault="00EB74DE" w:rsidP="00EB74DE">
      <w:pPr>
        <w:numPr>
          <w:ilvl w:val="0"/>
          <w:numId w:val="24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Проведення консультацій лікарями інших спеціальностей.</w:t>
      </w:r>
    </w:p>
    <w:p w:rsidR="00EB74DE" w:rsidRPr="00C25557" w:rsidRDefault="00EB74DE" w:rsidP="00EB74DE">
      <w:pPr>
        <w:numPr>
          <w:ilvl w:val="0"/>
          <w:numId w:val="24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Надання реабілітаційних послуг за відсутності протипоказань в гострому періоді реабілітації.</w:t>
      </w:r>
    </w:p>
    <w:p w:rsidR="00EB74DE" w:rsidRPr="00C25557" w:rsidRDefault="00EB74DE" w:rsidP="00EB74DE">
      <w:pPr>
        <w:numPr>
          <w:ilvl w:val="0"/>
          <w:numId w:val="24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Направлення пацієнтів при наявності показань в інші заклади/підрозділи для надання їм спеціалізованої, паліативної медичної допомоги, реабілітаційних послуг у післягострому та довготривалому періодах реабілітації.</w:t>
      </w:r>
    </w:p>
    <w:p w:rsidR="00EB74DE" w:rsidRPr="00C25557" w:rsidRDefault="00EB74DE" w:rsidP="00EB74DE">
      <w:pPr>
        <w:numPr>
          <w:ilvl w:val="0"/>
          <w:numId w:val="24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Проведення заходів з профілактики захворювань.</w:t>
      </w:r>
    </w:p>
    <w:p w:rsidR="00EB74DE" w:rsidRPr="00C25557" w:rsidRDefault="00EB74DE" w:rsidP="00EB74DE">
      <w:pPr>
        <w:numPr>
          <w:ilvl w:val="0"/>
          <w:numId w:val="24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Забезпечення харчування в умовах стаціонару. </w:t>
      </w:r>
    </w:p>
    <w:p w:rsidR="00EB74DE" w:rsidRPr="00C25557" w:rsidRDefault="00EB74DE" w:rsidP="00EB74DE">
      <w:pPr>
        <w:spacing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Додаткові вимоги до обсягу медичних послуг, який надавач зобов’язується надавати за договором відповідно до медичних потреб пацієнта/пацієнтки (специфікація) (для надання медичної допомоги дорослим):</w:t>
      </w:r>
    </w:p>
    <w:p w:rsidR="00EB74DE" w:rsidRPr="00C25557" w:rsidRDefault="00EB74DE" w:rsidP="00EB74DE">
      <w:pPr>
        <w:numPr>
          <w:ilvl w:val="0"/>
          <w:numId w:val="37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Проведення необхідних інструментальних обстежень відповідно до галузевих стандартів у сфері охорони здоров’я, зокрема:</w:t>
      </w:r>
    </w:p>
    <w:p w:rsidR="00EB74DE" w:rsidRPr="00C25557" w:rsidRDefault="00EB74DE" w:rsidP="00EB74DE">
      <w:pPr>
        <w:numPr>
          <w:ilvl w:val="0"/>
          <w:numId w:val="38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комп’ютерна томографія та/або магнітно-резонансна томографія (в тому числі з внутрішньовенним контрастуванням);</w:t>
      </w:r>
    </w:p>
    <w:p w:rsidR="00EB74DE" w:rsidRPr="00C25557" w:rsidRDefault="00EB74DE" w:rsidP="00EB74DE">
      <w:pPr>
        <w:numPr>
          <w:ilvl w:val="0"/>
          <w:numId w:val="38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ангіографічні дослідження;</w:t>
      </w:r>
    </w:p>
    <w:p w:rsidR="00EB74DE" w:rsidRPr="00C25557" w:rsidRDefault="00EB74DE" w:rsidP="00EB74DE">
      <w:pPr>
        <w:numPr>
          <w:ilvl w:val="0"/>
          <w:numId w:val="38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СКТ ангіографія.</w:t>
      </w:r>
    </w:p>
    <w:p w:rsidR="00EB74DE" w:rsidRPr="00C25557" w:rsidRDefault="00EB74DE" w:rsidP="00EB74DE">
      <w:pPr>
        <w:numPr>
          <w:ilvl w:val="0"/>
          <w:numId w:val="39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Проведення інструментальних ендоскопічних досліджень в умовах стаціонару у цілодобовому режимі.</w:t>
      </w:r>
    </w:p>
    <w:p w:rsidR="00EB74DE" w:rsidRPr="00C25557" w:rsidRDefault="00EB74DE" w:rsidP="00EB74DE">
      <w:pPr>
        <w:numPr>
          <w:ilvl w:val="0"/>
          <w:numId w:val="39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Цілодобове проведення лабораторних досліджень у закладі.</w:t>
      </w:r>
    </w:p>
    <w:p w:rsidR="00EB74DE" w:rsidRPr="00C25557" w:rsidRDefault="00EB74DE" w:rsidP="00EB74DE">
      <w:pPr>
        <w:numPr>
          <w:ilvl w:val="0"/>
          <w:numId w:val="39"/>
        </w:numPr>
        <w:shd w:val="clear" w:color="auto" w:fill="FFFFFF"/>
        <w:spacing w:line="240" w:lineRule="auto"/>
        <w:ind w:left="425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Наявність лікарів-інтернів.</w:t>
      </w:r>
    </w:p>
    <w:p w:rsidR="00EB74DE" w:rsidRPr="00C25557" w:rsidRDefault="00EB74DE" w:rsidP="00EB74DE">
      <w:pPr>
        <w:spacing w:line="240" w:lineRule="auto"/>
        <w:ind w:left="-180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>Додатковий обсяг медичних послуг, який надавач зобов’язується надавати за договором відповідно до медичних потреб пацієнта/пацієнтки (специфікація) (для надання медичної допомоги дітям):</w:t>
      </w:r>
    </w:p>
    <w:p w:rsidR="00EB74DE" w:rsidRPr="00C25557" w:rsidRDefault="00EB74DE" w:rsidP="00EB74DE">
      <w:pPr>
        <w:numPr>
          <w:ilvl w:val="0"/>
          <w:numId w:val="42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Проведення необхідних інструментальних обстежень відповідно до галузевих стандартів у сфері охорони здоров’я, зокрема комп’ютерної томографії (в тому числі з внутрішньовенним контрастуванням). </w:t>
      </w:r>
    </w:p>
    <w:p w:rsidR="00EB74DE" w:rsidRPr="00C25557" w:rsidRDefault="00EB74DE" w:rsidP="00EB74DE">
      <w:pPr>
        <w:numPr>
          <w:ilvl w:val="0"/>
          <w:numId w:val="42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Проведення інструментальних ендоскопічних досліджень в умовах стаціонару у цілодобовому режимі.</w:t>
      </w:r>
    </w:p>
    <w:p w:rsidR="00EB74DE" w:rsidRPr="00C25557" w:rsidRDefault="00EB74DE" w:rsidP="00EB74DE">
      <w:pPr>
        <w:numPr>
          <w:ilvl w:val="0"/>
          <w:numId w:val="42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Цілодобове проведення лабораторних досліджень у закладі.</w:t>
      </w:r>
    </w:p>
    <w:p w:rsidR="00EB74DE" w:rsidRPr="00C25557" w:rsidRDefault="00EB74DE" w:rsidP="00EB74DE">
      <w:pPr>
        <w:numPr>
          <w:ilvl w:val="0"/>
          <w:numId w:val="42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Проведення хірургічних втручань новонародженим. </w:t>
      </w:r>
    </w:p>
    <w:p w:rsidR="00EB74DE" w:rsidRPr="00C25557" w:rsidRDefault="00EB74DE" w:rsidP="00EB74DE">
      <w:pPr>
        <w:numPr>
          <w:ilvl w:val="0"/>
          <w:numId w:val="42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Надання медичної допомоги при опіках всіх ступенів тяжкості у дітей у повному обсязі відповідно до галузевих стандартів у сфері охорони здоров’я.</w:t>
      </w:r>
    </w:p>
    <w:p w:rsidR="00EB74DE" w:rsidRPr="00C25557" w:rsidRDefault="00EB74DE" w:rsidP="00EB74DE">
      <w:pPr>
        <w:numPr>
          <w:ilvl w:val="0"/>
          <w:numId w:val="42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Надання медичної допомоги при травмах всіх ступенів тяжкості та локалізації ушкоджень у дітей у повному обсязі відповідно до галузевих стандартів у сфері охорони здоров’я.</w:t>
      </w:r>
    </w:p>
    <w:p w:rsidR="00EB74DE" w:rsidRPr="00C25557" w:rsidRDefault="00EB74DE" w:rsidP="00EB74DE">
      <w:pPr>
        <w:numPr>
          <w:ilvl w:val="0"/>
          <w:numId w:val="42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Надання медичної допомоги дітям у випадку отруєнь та інтоксикацій усіх ступенів тяжкості у повному обсязі відповідно до галузевих стандартів у сфері охорони здоров’я.</w:t>
      </w:r>
    </w:p>
    <w:p w:rsidR="00EB74DE" w:rsidRPr="00C25557" w:rsidRDefault="00EB74DE" w:rsidP="00EB74DE">
      <w:pPr>
        <w:numPr>
          <w:ilvl w:val="0"/>
          <w:numId w:val="42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Надання медичної допомоги дітям у випадках виявлення сторонніх тіл органів чуттів, травної системи, системи органів дихання тощо у повному обсязі відповідно до галузевих стандартів у сфері охорони здоров’я.</w:t>
      </w:r>
    </w:p>
    <w:p w:rsidR="00EB74DE" w:rsidRPr="00C25557" w:rsidRDefault="00EB74DE" w:rsidP="00EB74DE">
      <w:pPr>
        <w:numPr>
          <w:ilvl w:val="0"/>
          <w:numId w:val="42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Проведенням хірургічних втручань на очах відповідно до галузевих стандартів у сфері охорони здоров’я.</w:t>
      </w:r>
    </w:p>
    <w:p w:rsidR="00EB74DE" w:rsidRPr="00C25557" w:rsidRDefault="00EB74DE" w:rsidP="00EB74DE">
      <w:pPr>
        <w:numPr>
          <w:ilvl w:val="0"/>
          <w:numId w:val="42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C25557">
        <w:rPr>
          <w:rFonts w:ascii="Times New Roman" w:hAnsi="Times New Roman" w:cs="Times New Roman"/>
          <w:sz w:val="24"/>
          <w:szCs w:val="24"/>
          <w:shd w:val="clear" w:color="auto" w:fill="FFFFFF"/>
        </w:rPr>
        <w:t>Наявність лікарів-інтернів.</w:t>
      </w:r>
    </w:p>
    <w:p w:rsidR="006731F7" w:rsidRPr="00EB74DE" w:rsidRDefault="006731F7" w:rsidP="00EB74DE">
      <w:bookmarkStart w:id="0" w:name="_GoBack"/>
      <w:bookmarkEnd w:id="0"/>
    </w:p>
    <w:sectPr w:rsidR="006731F7" w:rsidRPr="00EB74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E35E0"/>
    <w:multiLevelType w:val="multilevel"/>
    <w:tmpl w:val="3034B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74AF0"/>
    <w:multiLevelType w:val="multilevel"/>
    <w:tmpl w:val="238059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B118C"/>
    <w:multiLevelType w:val="multilevel"/>
    <w:tmpl w:val="9C063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873DD"/>
    <w:multiLevelType w:val="multilevel"/>
    <w:tmpl w:val="840AE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E006E"/>
    <w:multiLevelType w:val="multilevel"/>
    <w:tmpl w:val="659680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CC0347"/>
    <w:multiLevelType w:val="multilevel"/>
    <w:tmpl w:val="F15E3974"/>
    <w:lvl w:ilvl="0">
      <w:start w:val="1"/>
      <w:numFmt w:val="lowerLetter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7AF3FC7"/>
    <w:multiLevelType w:val="multilevel"/>
    <w:tmpl w:val="EE783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A638FF"/>
    <w:multiLevelType w:val="multilevel"/>
    <w:tmpl w:val="B6765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3A3D98"/>
    <w:multiLevelType w:val="multilevel"/>
    <w:tmpl w:val="4894D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4B4DC2"/>
    <w:multiLevelType w:val="multilevel"/>
    <w:tmpl w:val="BDBE97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10" w15:restartNumberingAfterBreak="0">
    <w:nsid w:val="225D05E7"/>
    <w:multiLevelType w:val="multilevel"/>
    <w:tmpl w:val="62F489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4690FF4"/>
    <w:multiLevelType w:val="multilevel"/>
    <w:tmpl w:val="5D805F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AC45638"/>
    <w:multiLevelType w:val="multilevel"/>
    <w:tmpl w:val="C216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1B66D9"/>
    <w:multiLevelType w:val="multilevel"/>
    <w:tmpl w:val="BA468EE6"/>
    <w:lvl w:ilvl="0">
      <w:start w:val="1"/>
      <w:numFmt w:val="lowerLetter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2F9947BB"/>
    <w:multiLevelType w:val="multilevel"/>
    <w:tmpl w:val="032E58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6FF1879"/>
    <w:multiLevelType w:val="multilevel"/>
    <w:tmpl w:val="1FAC5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DC2809"/>
    <w:multiLevelType w:val="multilevel"/>
    <w:tmpl w:val="586215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AC10A8"/>
    <w:multiLevelType w:val="multilevel"/>
    <w:tmpl w:val="5630D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367981"/>
    <w:multiLevelType w:val="multilevel"/>
    <w:tmpl w:val="52A29E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4EB7103B"/>
    <w:multiLevelType w:val="multilevel"/>
    <w:tmpl w:val="9ABCC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D63578"/>
    <w:multiLevelType w:val="multilevel"/>
    <w:tmpl w:val="EE7248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A8546E"/>
    <w:multiLevelType w:val="multilevel"/>
    <w:tmpl w:val="9CE48642"/>
    <w:lvl w:ilvl="0">
      <w:start w:val="1"/>
      <w:numFmt w:val="lowerLetter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6E2F5954"/>
    <w:multiLevelType w:val="multilevel"/>
    <w:tmpl w:val="56020A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77FA1065"/>
    <w:multiLevelType w:val="multilevel"/>
    <w:tmpl w:val="63029C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24" w15:restartNumberingAfterBreak="0">
    <w:nsid w:val="7CB16CC6"/>
    <w:multiLevelType w:val="multilevel"/>
    <w:tmpl w:val="53AA2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1"/>
  </w:num>
  <w:num w:numId="2">
    <w:abstractNumId w:val="22"/>
  </w:num>
  <w:num w:numId="3">
    <w:abstractNumId w:val="14"/>
  </w:num>
  <w:num w:numId="4">
    <w:abstractNumId w:val="24"/>
  </w:num>
  <w:num w:numId="5">
    <w:abstractNumId w:val="10"/>
  </w:num>
  <w:num w:numId="6">
    <w:abstractNumId w:val="18"/>
  </w:num>
  <w:num w:numId="7">
    <w:abstractNumId w:val="13"/>
  </w:num>
  <w:num w:numId="8">
    <w:abstractNumId w:val="21"/>
  </w:num>
  <w:num w:numId="9">
    <w:abstractNumId w:val="5"/>
  </w:num>
  <w:num w:numId="10">
    <w:abstractNumId w:val="23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8"/>
    <w:lvlOverride w:ilvl="1">
      <w:lvl w:ilvl="1">
        <w:numFmt w:val="lowerLetter"/>
        <w:lvlText w:val="%2."/>
        <w:lvlJc w:val="left"/>
      </w:lvl>
    </w:lvlOverride>
  </w:num>
  <w:num w:numId="14">
    <w:abstractNumId w:val="8"/>
    <w:lvlOverride w:ilvl="1">
      <w:lvl w:ilvl="1">
        <w:numFmt w:val="lowerLetter"/>
        <w:lvlText w:val="%2."/>
        <w:lvlJc w:val="left"/>
      </w:lvl>
    </w:lvlOverride>
  </w:num>
  <w:num w:numId="15">
    <w:abstractNumId w:val="7"/>
  </w:num>
  <w:num w:numId="16">
    <w:abstractNumId w:val="20"/>
    <w:lvlOverride w:ilvl="0">
      <w:lvl w:ilvl="0">
        <w:numFmt w:val="decimal"/>
        <w:lvlText w:val="%1."/>
        <w:lvlJc w:val="left"/>
      </w:lvl>
    </w:lvlOverride>
  </w:num>
  <w:num w:numId="17">
    <w:abstractNumId w:val="20"/>
    <w:lvlOverride w:ilvl="0">
      <w:lvl w:ilvl="0">
        <w:numFmt w:val="decimal"/>
        <w:lvlText w:val="%1."/>
        <w:lvlJc w:val="left"/>
      </w:lvl>
    </w:lvlOverride>
  </w:num>
  <w:num w:numId="18">
    <w:abstractNumId w:val="0"/>
  </w:num>
  <w:num w:numId="19">
    <w:abstractNumId w:val="6"/>
  </w:num>
  <w:num w:numId="20">
    <w:abstractNumId w:val="3"/>
  </w:num>
  <w:num w:numId="21">
    <w:abstractNumId w:val="17"/>
    <w:lvlOverride w:ilvl="0">
      <w:lvl w:ilvl="0">
        <w:numFmt w:val="lowerLetter"/>
        <w:lvlText w:val="%1."/>
        <w:lvlJc w:val="left"/>
      </w:lvl>
    </w:lvlOverride>
  </w:num>
  <w:num w:numId="22">
    <w:abstractNumId w:val="4"/>
    <w:lvlOverride w:ilvl="0">
      <w:lvl w:ilvl="0">
        <w:numFmt w:val="decimal"/>
        <w:lvlText w:val="%1."/>
        <w:lvlJc w:val="left"/>
      </w:lvl>
    </w:lvlOverride>
  </w:num>
  <w:num w:numId="23">
    <w:abstractNumId w:val="12"/>
    <w:lvlOverride w:ilvl="0">
      <w:lvl w:ilvl="0">
        <w:numFmt w:val="lowerLetter"/>
        <w:lvlText w:val="%1."/>
        <w:lvlJc w:val="left"/>
      </w:lvl>
    </w:lvlOverride>
  </w:num>
  <w:num w:numId="24">
    <w:abstractNumId w:val="1"/>
    <w:lvlOverride w:ilvl="0">
      <w:lvl w:ilvl="0">
        <w:numFmt w:val="decimal"/>
        <w:lvlText w:val="%1."/>
        <w:lvlJc w:val="left"/>
      </w:lvl>
    </w:lvlOverride>
  </w:num>
  <w:num w:numId="25">
    <w:abstractNumId w:val="1"/>
    <w:lvlOverride w:ilvl="0">
      <w:lvl w:ilvl="0">
        <w:numFmt w:val="decimal"/>
        <w:lvlText w:val="%1."/>
        <w:lvlJc w:val="left"/>
      </w:lvl>
    </w:lvlOverride>
  </w:num>
  <w:num w:numId="26">
    <w:abstractNumId w:val="1"/>
    <w:lvlOverride w:ilvl="0">
      <w:lvl w:ilvl="0">
        <w:numFmt w:val="decimal"/>
        <w:lvlText w:val="%1."/>
        <w:lvlJc w:val="left"/>
      </w:lvl>
    </w:lvlOverride>
  </w:num>
  <w:num w:numId="27">
    <w:abstractNumId w:val="1"/>
    <w:lvlOverride w:ilvl="0">
      <w:lvl w:ilvl="0">
        <w:numFmt w:val="decimal"/>
        <w:lvlText w:val="%1."/>
        <w:lvlJc w:val="left"/>
      </w:lvl>
    </w:lvlOverride>
  </w:num>
  <w:num w:numId="28">
    <w:abstractNumId w:val="1"/>
    <w:lvlOverride w:ilvl="0">
      <w:lvl w:ilvl="0">
        <w:numFmt w:val="decimal"/>
        <w:lvlText w:val="%1."/>
        <w:lvlJc w:val="left"/>
      </w:lvl>
    </w:lvlOverride>
  </w:num>
  <w:num w:numId="29">
    <w:abstractNumId w:val="1"/>
    <w:lvlOverride w:ilvl="0">
      <w:lvl w:ilvl="0">
        <w:numFmt w:val="decimal"/>
        <w:lvlText w:val="%1."/>
        <w:lvlJc w:val="left"/>
      </w:lvl>
    </w:lvlOverride>
  </w:num>
  <w:num w:numId="30">
    <w:abstractNumId w:val="1"/>
    <w:lvlOverride w:ilvl="0">
      <w:lvl w:ilvl="0">
        <w:numFmt w:val="decimal"/>
        <w:lvlText w:val="%1."/>
        <w:lvlJc w:val="left"/>
      </w:lvl>
    </w:lvlOverride>
  </w:num>
  <w:num w:numId="31">
    <w:abstractNumId w:val="1"/>
    <w:lvlOverride w:ilvl="0">
      <w:lvl w:ilvl="0">
        <w:numFmt w:val="decimal"/>
        <w:lvlText w:val="%1."/>
        <w:lvlJc w:val="left"/>
      </w:lvl>
    </w:lvlOverride>
  </w:num>
  <w:num w:numId="32">
    <w:abstractNumId w:val="1"/>
    <w:lvlOverride w:ilvl="0">
      <w:lvl w:ilvl="0">
        <w:numFmt w:val="decimal"/>
        <w:lvlText w:val="%1."/>
        <w:lvlJc w:val="left"/>
      </w:lvl>
    </w:lvlOverride>
  </w:num>
  <w:num w:numId="33">
    <w:abstractNumId w:val="1"/>
    <w:lvlOverride w:ilvl="0">
      <w:lvl w:ilvl="0">
        <w:numFmt w:val="decimal"/>
        <w:lvlText w:val="%1."/>
        <w:lvlJc w:val="left"/>
      </w:lvl>
    </w:lvlOverride>
  </w:num>
  <w:num w:numId="34">
    <w:abstractNumId w:val="1"/>
    <w:lvlOverride w:ilvl="0">
      <w:lvl w:ilvl="0">
        <w:numFmt w:val="decimal"/>
        <w:lvlText w:val="%1."/>
        <w:lvlJc w:val="left"/>
      </w:lvl>
    </w:lvlOverride>
  </w:num>
  <w:num w:numId="35">
    <w:abstractNumId w:val="1"/>
    <w:lvlOverride w:ilvl="0">
      <w:lvl w:ilvl="0">
        <w:numFmt w:val="decimal"/>
        <w:lvlText w:val="%1."/>
        <w:lvlJc w:val="left"/>
      </w:lvl>
    </w:lvlOverride>
  </w:num>
  <w:num w:numId="36">
    <w:abstractNumId w:val="1"/>
    <w:lvlOverride w:ilvl="0">
      <w:lvl w:ilvl="0">
        <w:numFmt w:val="decimal"/>
        <w:lvlText w:val="%1."/>
        <w:lvlJc w:val="left"/>
      </w:lvl>
    </w:lvlOverride>
  </w:num>
  <w:num w:numId="37">
    <w:abstractNumId w:val="2"/>
  </w:num>
  <w:num w:numId="38">
    <w:abstractNumId w:val="19"/>
    <w:lvlOverride w:ilvl="0">
      <w:lvl w:ilvl="0">
        <w:numFmt w:val="lowerLetter"/>
        <w:lvlText w:val="%1."/>
        <w:lvlJc w:val="left"/>
      </w:lvl>
    </w:lvlOverride>
  </w:num>
  <w:num w:numId="39">
    <w:abstractNumId w:val="16"/>
    <w:lvlOverride w:ilvl="0">
      <w:lvl w:ilvl="0">
        <w:numFmt w:val="decimal"/>
        <w:lvlText w:val="%1."/>
        <w:lvlJc w:val="left"/>
      </w:lvl>
    </w:lvlOverride>
  </w:num>
  <w:num w:numId="40">
    <w:abstractNumId w:val="16"/>
    <w:lvlOverride w:ilvl="0">
      <w:lvl w:ilvl="0">
        <w:numFmt w:val="decimal"/>
        <w:lvlText w:val="%1."/>
        <w:lvlJc w:val="left"/>
      </w:lvl>
    </w:lvlOverride>
  </w:num>
  <w:num w:numId="41">
    <w:abstractNumId w:val="16"/>
    <w:lvlOverride w:ilvl="0">
      <w:lvl w:ilvl="0">
        <w:numFmt w:val="decimal"/>
        <w:lvlText w:val="%1."/>
        <w:lvlJc w:val="left"/>
      </w:lvl>
    </w:lvlOverride>
  </w:num>
  <w:num w:numId="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3E2"/>
    <w:rsid w:val="00034C22"/>
    <w:rsid w:val="000617AC"/>
    <w:rsid w:val="0018121B"/>
    <w:rsid w:val="002533F5"/>
    <w:rsid w:val="004D4FF5"/>
    <w:rsid w:val="0054567F"/>
    <w:rsid w:val="006731F7"/>
    <w:rsid w:val="006C43E2"/>
    <w:rsid w:val="00733C0F"/>
    <w:rsid w:val="0077702A"/>
    <w:rsid w:val="008D2A75"/>
    <w:rsid w:val="00993769"/>
    <w:rsid w:val="00C47F4E"/>
    <w:rsid w:val="00DC35BC"/>
    <w:rsid w:val="00EB74DE"/>
    <w:rsid w:val="00EF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8996A1-28B5-4934-BCE1-8EB591FB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C35BC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93769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93769"/>
    <w:rPr>
      <w:rFonts w:ascii="Arial" w:eastAsia="Arial" w:hAnsi="Arial" w:cs="Arial"/>
      <w:sz w:val="32"/>
      <w:szCs w:val="32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4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882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Кудря Євген Валерійович</cp:lastModifiedBy>
  <cp:revision>5</cp:revision>
  <dcterms:created xsi:type="dcterms:W3CDTF">2021-07-30T14:29:00Z</dcterms:created>
  <dcterms:modified xsi:type="dcterms:W3CDTF">2022-02-07T08:54:00Z</dcterms:modified>
</cp:coreProperties>
</file>