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0C4D" w:rsidRDefault="00490C4D" w:rsidP="00490C4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0C34">
        <w:rPr>
          <w:rFonts w:ascii="Times New Roman" w:hAnsi="Times New Roman" w:cs="Times New Roman"/>
          <w:b/>
          <w:sz w:val="24"/>
          <w:szCs w:val="24"/>
        </w:rPr>
        <w:t>ХІРУРГІЧНІ ОПЕРАЦІЇ ДОРОСЛИМ ТА ДІТЯМ В УМОВАХ СТАЦІОНАРУ ОДНОГО ДНЯ</w:t>
      </w:r>
    </w:p>
    <w:p w:rsidR="00490C4D" w:rsidRPr="00C25557" w:rsidRDefault="00490C4D" w:rsidP="00490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пацієнта/пацієнтки (специфікація)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1. Забезпечення планової госпіталізації пацієнта/пацієнтки при наявності в нього/неї відповідного обсягу досліджень до запланованого хірургічного втручання, виконаних на амбулаторному етапі надання медичної допомоги, відповідно до галузевих стандартів у сфері охорони здоров’я.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2. Забезпечення огляду пацієнта/пацієнтки лікуючим лікарем перед наданням медичної послуги.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3. Передопераційний огляд пацієнта/пацієнтки лікарем-анестезіологом або лікарем-анестезіологом дитячим (за умови надання допомоги дітям).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4. Проведення лабораторних обстежень у разі виникнення ускладнень, зокрема: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t>a</w:t>
      </w:r>
      <w:r w:rsidRPr="00C25557">
        <w:rPr>
          <w:lang w:val="ru-RU"/>
        </w:rPr>
        <w:t xml:space="preserve">. загальний аналіз крові;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t>b</w:t>
      </w:r>
      <w:r w:rsidRPr="00C25557">
        <w:rPr>
          <w:lang w:val="ru-RU"/>
        </w:rPr>
        <w:t xml:space="preserve">. коагуляційний гемостаз (тромбіновий час, активований частковий (парціальний) тромбопластиновий час (АЧТЧ, АПТЧ), міжнародне нормалізоване відношення (МНВ));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t>c</w:t>
      </w:r>
      <w:r w:rsidRPr="00C25557">
        <w:rPr>
          <w:lang w:val="ru-RU"/>
        </w:rPr>
        <w:t xml:space="preserve">. глюкоза в цільній крові або сироватці крові;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t>d</w:t>
      </w:r>
      <w:r w:rsidRPr="00C25557">
        <w:rPr>
          <w:lang w:val="ru-RU"/>
        </w:rPr>
        <w:t xml:space="preserve">. інших досліджень відповідно до потреб пацієнта.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5. Проведення у разі виникнення ускладнень додаткових інструментальних обстежень відповідно до галузевих стандартів у сфері охорони здоров’я, у тому числі ЕКГ, рентгендослідження, УЗД тощо.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6. Проведення медичної підготовки пацієнта/пацієнтки до діагностичного, лікувально-діагностичного втручання або оперативного лікування, яке не може бути проведеним в амбулаторних умовах.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7. Проведення анестезіологічного забезпечення під час діагностичних, лікувально-діагностичних та хірургічних втручань/процедур.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8. Проведення діагностичних, лікувально-діагностичних та хірургічних втручань/процедур, здійснення яких неможливе в амбулаторних умовах і потребує спостереження протягом не більше 24 годин в умовах стаціонару.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9. Проведення при наявності показань гістологічного, цитологічного досліджень матеріалу, отриманого при проведенні втручань відповідно до галузевих стандартів у сфері охорони здоров’я.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10. Забезпечення медичного спостереження за пацієнтом після оперативного лікування або іншого втручання профільним лікарем-спеціалістом, медсестринським персоналом, а також лікарем-анестезіологом у разі проведення анестезіологічного забезпечення.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11. Забезпечення післяопераційного знеболення при наявності показань відповідно до типу операційного втручання.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12. Забезпечення лікарськими засобами, постачання яких здійснюється шляхом централізованих закупівель МОЗ, за рахунок інших програм центрального та місцевого бюджетів, а також лікарськими засобами, визначеними Національним переліком основних лікарських засобів, необхідними медичними виробами та витратними матеріалами відповідно до галузевих стандартів у сфері охорони здоров’я та медико-технологічних документів.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13. Надання пацієнту/пацієнтці рекомендацій щодо подальшого медикаментозного та відновлювального лікування в амбулаторних умовах та тактики дій при розвитку будь-яких ускладнень. </w:t>
      </w:r>
    </w:p>
    <w:p w:rsidR="00490C4D" w:rsidRPr="00C25557" w:rsidRDefault="00490C4D" w:rsidP="00490C4D">
      <w:pPr>
        <w:pStyle w:val="Default"/>
        <w:rPr>
          <w:lang w:val="ru-RU"/>
        </w:rPr>
      </w:pPr>
      <w:r w:rsidRPr="00C25557">
        <w:rPr>
          <w:lang w:val="ru-RU"/>
        </w:rPr>
        <w:t xml:space="preserve">14. Навчання пацієнта/пацієнтки та/або осіб, які здійснюватимуть догляд за пацієнтом/пацієнткою після виписки зі стаціонару одного дня, основ післяопераційного догляду вдома. </w:t>
      </w:r>
    </w:p>
    <w:p w:rsidR="00490C4D" w:rsidRPr="008546D6" w:rsidRDefault="00490C4D" w:rsidP="00490C4D">
      <w:pPr>
        <w:pStyle w:val="Default"/>
        <w:rPr>
          <w:lang w:val="ru-RU"/>
        </w:rPr>
      </w:pPr>
      <w:r w:rsidRPr="008546D6">
        <w:rPr>
          <w:lang w:val="ru-RU"/>
        </w:rPr>
        <w:t xml:space="preserve">15. Надання медичної допомоги у разі виникнення невідкладних станів у пацієнта/пацієнтки з дотриманням подальшої маршрутизації пацієнта. </w:t>
      </w:r>
    </w:p>
    <w:p w:rsidR="00490C4D" w:rsidRPr="008546D6" w:rsidRDefault="00490C4D" w:rsidP="00490C4D">
      <w:pPr>
        <w:pStyle w:val="Default"/>
        <w:rPr>
          <w:lang w:val="ru-RU"/>
        </w:rPr>
      </w:pPr>
      <w:r w:rsidRPr="008546D6">
        <w:rPr>
          <w:lang w:val="ru-RU"/>
        </w:rPr>
        <w:lastRenderedPageBreak/>
        <w:t xml:space="preserve">16. Забезпечення госпіталізації пацієнта/пацієнтки у профільне стаціонарне відділення при виникненні ускладнень під час перебування пацієнта/пацієнтки в стаціонарі одного дня та наявності показань до цілодобового спостереження та лікування. </w:t>
      </w:r>
    </w:p>
    <w:p w:rsidR="00F526A8" w:rsidRPr="00490C4D" w:rsidRDefault="00490C4D" w:rsidP="00490C4D">
      <w:bookmarkStart w:id="0" w:name="_GoBack"/>
      <w:bookmarkEnd w:id="0"/>
    </w:p>
    <w:sectPr w:rsidR="00F526A8" w:rsidRPr="00490C4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91CBE"/>
    <w:multiLevelType w:val="multilevel"/>
    <w:tmpl w:val="A662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11A31"/>
    <w:multiLevelType w:val="multilevel"/>
    <w:tmpl w:val="0F14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945D0"/>
    <w:multiLevelType w:val="multilevel"/>
    <w:tmpl w:val="DF2C400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A6830F8"/>
    <w:multiLevelType w:val="multilevel"/>
    <w:tmpl w:val="AB74F2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63316"/>
    <w:multiLevelType w:val="multilevel"/>
    <w:tmpl w:val="32EC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2B161D"/>
    <w:multiLevelType w:val="multilevel"/>
    <w:tmpl w:val="1D1A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5"/>
    <w:lvlOverride w:ilvl="1">
      <w:lvl w:ilvl="1">
        <w:numFmt w:val="lowerLetter"/>
        <w:lvlText w:val="%2."/>
        <w:lvlJc w:val="left"/>
      </w:lvl>
    </w:lvlOverride>
  </w:num>
  <w:num w:numId="5">
    <w:abstractNumId w:val="0"/>
  </w:num>
  <w:num w:numId="6">
    <w:abstractNumId w:val="4"/>
    <w:lvlOverride w:ilvl="0">
      <w:lvl w:ilvl="0">
        <w:numFmt w:val="lowerLetter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3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3"/>
    <w:lvlOverride w:ilvl="0">
      <w:lvl w:ilvl="0">
        <w:numFmt w:val="decimal"/>
        <w:lvlText w:val="%1."/>
        <w:lvlJc w:val="left"/>
      </w:lvl>
    </w:lvlOverride>
  </w:num>
  <w:num w:numId="15">
    <w:abstractNumId w:val="3"/>
    <w:lvlOverride w:ilvl="0">
      <w:lvl w:ilvl="0">
        <w:numFmt w:val="decimal"/>
        <w:lvlText w:val="%1."/>
        <w:lvlJc w:val="left"/>
      </w:lvl>
    </w:lvlOverride>
  </w:num>
  <w:num w:numId="16">
    <w:abstractNumId w:val="3"/>
    <w:lvlOverride w:ilvl="0">
      <w:lvl w:ilvl="0">
        <w:numFmt w:val="decimal"/>
        <w:lvlText w:val="%1."/>
        <w:lvlJc w:val="left"/>
      </w:lvl>
    </w:lvlOverride>
  </w:num>
  <w:num w:numId="17">
    <w:abstractNumId w:val="3"/>
    <w:lvlOverride w:ilvl="0">
      <w:lvl w:ilvl="0">
        <w:numFmt w:val="decimal"/>
        <w:lvlText w:val="%1."/>
        <w:lvlJc w:val="left"/>
      </w:lvl>
    </w:lvlOverride>
  </w:num>
  <w:num w:numId="18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F08"/>
    <w:rsid w:val="001B7AF3"/>
    <w:rsid w:val="0042793B"/>
    <w:rsid w:val="00490C4D"/>
    <w:rsid w:val="004F027D"/>
    <w:rsid w:val="005B3BD8"/>
    <w:rsid w:val="00B12372"/>
    <w:rsid w:val="00BD21BF"/>
    <w:rsid w:val="00D46F08"/>
    <w:rsid w:val="00DC37C0"/>
    <w:rsid w:val="00EE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5CB433-73D0-41CF-AD55-B33C55665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90C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F0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Default">
    <w:name w:val="Default"/>
    <w:rsid w:val="00490C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8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Волошина Альбіна Миколаївна</dc:creator>
  <cp:keywords/>
  <dc:description/>
  <cp:lastModifiedBy>Кудря Євген Валерійович</cp:lastModifiedBy>
  <cp:revision>4</cp:revision>
  <dcterms:created xsi:type="dcterms:W3CDTF">2021-07-30T14:17:00Z</dcterms:created>
  <dcterms:modified xsi:type="dcterms:W3CDTF">2022-02-07T08:56:00Z</dcterms:modified>
</cp:coreProperties>
</file>