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ED36" w14:textId="77777777" w:rsidR="00A85063" w:rsidRPr="00C25557" w:rsidRDefault="00A85063" w:rsidP="00A85063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ЛІКУВАННЯ ПАЦІЄНТІВ МЕТОДОМ ПЕРИТОНЕАЛЬНОГО ДІАЛІЗУ В АМБУЛАТОРНИХ УМОВАХ</w:t>
      </w:r>
    </w:p>
    <w:p w14:paraId="42B1CF0A" w14:textId="77777777" w:rsidR="00A85063" w:rsidRPr="00C25557" w:rsidRDefault="00A85063" w:rsidP="00A8506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6082BC" w14:textId="77777777" w:rsidR="00A85063" w:rsidRPr="00C25557" w:rsidRDefault="00A85063" w:rsidP="00A85063">
      <w:pPr>
        <w:spacing w:line="240" w:lineRule="auto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5557">
        <w:rPr>
          <w:rFonts w:ascii="Times New Roman" w:hAnsi="Times New Roman" w:cs="Times New Roman"/>
          <w:b/>
          <w:sz w:val="24"/>
          <w:szCs w:val="24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14:paraId="23842BE8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Первинний огляд пацієнта/пацієнтки та подальше лікарське спостереження за станом життєво важливих функцій організму. </w:t>
      </w:r>
    </w:p>
    <w:p w14:paraId="2095334F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Спостереження за ефективністю (адекватністю) діалізного лікування методами постійного перитонеального діалізу (ПАПД) та/або автоматизованого перитонеального діалізу (АПД), включаючи оцінку та корекцію нутриційного статусу, своєчасну діагностику, профілактику та лікування інфекційних та неінфекційних ускладнень перитонеального діалізу, із направленням пацієнтів до лікарів-спеціалістів інших профілів.</w:t>
      </w:r>
    </w:p>
    <w:p w14:paraId="16DE10E1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Перевірка ПД-освіти та, за потреби, проведення повторного навчання. Навчання родичів пацієнта/пацієнтки методикам ПАПД/АПД, у випадку коли пацієнт/пацієнтка не може самостійно проводити процедуру.</w:t>
      </w:r>
    </w:p>
    <w:p w14:paraId="603A3D89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 xml:space="preserve">Оцінка можливості організації процедур перитонеального діалізу пацієнтом/пацієнткою самостійно: </w:t>
      </w:r>
    </w:p>
    <w:p w14:paraId="35579AA5" w14:textId="77777777" w:rsidR="00A85063" w:rsidRPr="00C25557" w:rsidRDefault="00A85063" w:rsidP="00A85063">
      <w:pPr>
        <w:numPr>
          <w:ilvl w:val="0"/>
          <w:numId w:val="2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у випадку можливості самостійного проведення процедури ПД – надання та доставка за місцем проживання пацієнта/пацієнтки виробів медичного призначення (включаючи циклери для АПД) та лікарських засобів; виконання процедури перитонеального діалізу в амбулаторних умовах у ЗОЗ за необхідності; контроль за використанням циклерів для АПД, витратних медичних матеріалів та лікарських засобів;</w:t>
      </w:r>
    </w:p>
    <w:p w14:paraId="7CD478AA" w14:textId="77777777" w:rsidR="00A85063" w:rsidRPr="00C25557" w:rsidRDefault="00A85063" w:rsidP="00A85063">
      <w:pPr>
        <w:numPr>
          <w:ilvl w:val="0"/>
          <w:numId w:val="2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у випадку неможливості самостійного проведення процедури – навчання виконанню процедури перитонеального діалізу (постійного амбулаторного перитонеального діалізу чи автоматизованого перитонеального діалізу) в амбулаторних умовах родичів пацієнта/пацієнтки, а також, у разі необхідності, організація тимчасового проведення амбулаторних процедур ПД (ПАПД/АПД) в ЗОЗ;</w:t>
      </w:r>
    </w:p>
    <w:p w14:paraId="7E2611F5" w14:textId="77777777" w:rsidR="00A85063" w:rsidRPr="00C25557" w:rsidRDefault="00A85063" w:rsidP="00A85063">
      <w:pPr>
        <w:numPr>
          <w:ilvl w:val="0"/>
          <w:numId w:val="22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у випадку госпіталізації пацієнта/пацієнтки до іншого ЗОЗ – забезпечення необхідними консультаціями лікаря-нефролога і контроль наявності у пацієнта/пацієнтки достатньої кількості виробів медичного призначення та лікарських засобів для проведення перитонеального діалізу, а у разі необхідності (за запитом пацієнта/пацієнтки) – доставка виробів медичного призначення (включаючи циклери для АПД) та лікарських засобів до місця безпосереднього перебування пацієнта/пацієнтки.</w:t>
      </w:r>
    </w:p>
    <w:p w14:paraId="158BDC1E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Призначення лікування методом перитонеального діалізу із зазначенням типу розчину, об’єму розчину, кратності проведення обмінів, виду ПД (ПАПД – постійний амбулаторний перитонеальний діаліз або АПД – автоматизований перитонеальний діаліз).</w:t>
      </w:r>
    </w:p>
    <w:p w14:paraId="318824F8" w14:textId="77777777" w:rsidR="00A85063" w:rsidRPr="00C25557" w:rsidRDefault="00A85063" w:rsidP="00A85063">
      <w:pPr>
        <w:numPr>
          <w:ilvl w:val="0"/>
          <w:numId w:val="19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Проведення необхідних лабораторних досліджень відповідно до галузевих стандартів у сфері охорони здоров’я, а також за потребою або при погіршенні стану, зокрема:</w:t>
      </w:r>
    </w:p>
    <w:p w14:paraId="4EFF0F2A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розгорнутий клінічний аналіз крові;</w:t>
      </w:r>
    </w:p>
    <w:p w14:paraId="29F5ACA1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аналіз сечі загальний;</w:t>
      </w:r>
    </w:p>
    <w:p w14:paraId="50EC6551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біохімічний аналіз крові (сечовина, креатинін, загальний білок, альбумін, електроліти: натрій, калій, кальцій, фосфор, хлор), сироваткове залізо, феритин;</w:t>
      </w:r>
    </w:p>
    <w:p w14:paraId="17F7C38C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глюкоза в цільній крові або сироватці крові;</w:t>
      </w:r>
    </w:p>
    <w:p w14:paraId="171593A6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ліпідний профіль (тригліцериди, загальний холестерин, ліпопротеїди низької щільності (ЛПНЩ), ліпопротеїди високої щільністю (ЛПВЩ));</w:t>
      </w:r>
    </w:p>
    <w:p w14:paraId="31CE0D37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індекс еритроцитів, число ретикулоцитів, відсоток насичення трансферину залізом, сироватковий феритин;</w:t>
      </w:r>
    </w:p>
    <w:p w14:paraId="48DDBC84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lastRenderedPageBreak/>
        <w:t>контроль залишкової функції нирок (ЗФН);</w:t>
      </w:r>
    </w:p>
    <w:p w14:paraId="7D95DD01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Kt/Vurea;</w:t>
      </w:r>
    </w:p>
    <w:p w14:paraId="794C7362" w14:textId="77777777" w:rsidR="00A85063" w:rsidRPr="00C25557" w:rsidRDefault="00A85063" w:rsidP="00A85063">
      <w:pPr>
        <w:numPr>
          <w:ilvl w:val="0"/>
          <w:numId w:val="21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тест перитонеальної рівноваги (PET).</w:t>
      </w:r>
    </w:p>
    <w:p w14:paraId="04F378E8" w14:textId="77777777" w:rsidR="00A85063" w:rsidRPr="00C25557" w:rsidRDefault="00A85063" w:rsidP="00A850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менеджменту перитонеального катетеру, лікування перитоніту, інфекції місця виходу катетера і тунельні інфекції:</w:t>
      </w:r>
    </w:p>
    <w:p w14:paraId="0B720AF7" w14:textId="77777777" w:rsidR="00A85063" w:rsidRPr="00C25557" w:rsidRDefault="00A85063" w:rsidP="00A85063">
      <w:pPr>
        <w:numPr>
          <w:ilvl w:val="0"/>
          <w:numId w:val="2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направлення для хірургічної імплантації перитонеального катетера;</w:t>
      </w:r>
    </w:p>
    <w:p w14:paraId="311B5F6D" w14:textId="77777777" w:rsidR="00A85063" w:rsidRPr="00C25557" w:rsidRDefault="00A85063" w:rsidP="00A85063">
      <w:pPr>
        <w:numPr>
          <w:ilvl w:val="0"/>
          <w:numId w:val="2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профілактика інфекційних ускладнень, пов’язаних з тривалим знаходженням перитонеального катетера у черевній порожнині пацієнта/пацієнтки;</w:t>
      </w:r>
    </w:p>
    <w:p w14:paraId="0228AD32" w14:textId="77777777" w:rsidR="00A85063" w:rsidRPr="00C25557" w:rsidRDefault="00A85063" w:rsidP="00A85063">
      <w:pPr>
        <w:numPr>
          <w:ilvl w:val="0"/>
          <w:numId w:val="20"/>
        </w:num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направлення пацієнтів, за необхідності, до закладу охорони здоров’я при ускладненнях, пов’язаних з діалізним перитонітом, інфекцією місця виходу катетера і тунельною інфекцією.</w:t>
      </w:r>
    </w:p>
    <w:p w14:paraId="6D890D69" w14:textId="77777777" w:rsidR="00A85063" w:rsidRPr="00C25557" w:rsidRDefault="00A85063" w:rsidP="00A850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своєчасної діагностики та надання медикаментозного лікування анемії.</w:t>
      </w:r>
    </w:p>
    <w:p w14:paraId="3DD46278" w14:textId="77777777" w:rsidR="00A85063" w:rsidRPr="00C25557" w:rsidRDefault="00A85063" w:rsidP="00A850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Забезпечення лікарськими засобами відповідно до Національного переліку основних лікарських засобів, медичними виробами та розхідними матеріалами відповідно до галузевих стандартів у сфері охорони здоров’я.</w:t>
      </w:r>
    </w:p>
    <w:p w14:paraId="17D2609A" w14:textId="77777777" w:rsidR="00A85063" w:rsidRPr="00C25557" w:rsidRDefault="00A85063" w:rsidP="00A850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Надання своєчасної невідкладної медичної допомоги при виникненні станів, що загрожують життю, під час перебування пацієнта/пацієнтки у закладі охорони здоров’я.</w:t>
      </w:r>
    </w:p>
    <w:p w14:paraId="7CD0A099" w14:textId="77777777" w:rsidR="00A85063" w:rsidRPr="00C25557" w:rsidRDefault="00A85063" w:rsidP="00A850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</w:rPr>
        <w:t>Направлення пацієнтів для отримання вторинної (спеціалізованої), третинної (високоспеціалізованої) медичної допомоги, інших медичних послуг.</w:t>
      </w:r>
    </w:p>
    <w:p w14:paraId="2E7DA7BD" w14:textId="77777777" w:rsidR="006731F7" w:rsidRPr="00A85063" w:rsidRDefault="006731F7" w:rsidP="00A85063">
      <w:bookmarkStart w:id="0" w:name="_GoBack"/>
      <w:bookmarkEnd w:id="0"/>
    </w:p>
    <w:sectPr w:rsidR="006731F7" w:rsidRPr="00A8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C7304"/>
    <w:multiLevelType w:val="multilevel"/>
    <w:tmpl w:val="56D4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A1EE4"/>
    <w:multiLevelType w:val="multilevel"/>
    <w:tmpl w:val="6AD875B0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2" w15:restartNumberingAfterBreak="0">
    <w:nsid w:val="18A77A20"/>
    <w:multiLevelType w:val="multilevel"/>
    <w:tmpl w:val="EF4E3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237A26E0"/>
    <w:multiLevelType w:val="multilevel"/>
    <w:tmpl w:val="26749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B761EE"/>
    <w:multiLevelType w:val="multilevel"/>
    <w:tmpl w:val="5BD8D8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295500"/>
    <w:multiLevelType w:val="multilevel"/>
    <w:tmpl w:val="71B6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501B6"/>
    <w:multiLevelType w:val="multilevel"/>
    <w:tmpl w:val="8092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2C632A"/>
    <w:multiLevelType w:val="multilevel"/>
    <w:tmpl w:val="1EA05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EA46D98"/>
    <w:multiLevelType w:val="multilevel"/>
    <w:tmpl w:val="420887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4066566B"/>
    <w:multiLevelType w:val="multilevel"/>
    <w:tmpl w:val="2D36DA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607E3E"/>
    <w:multiLevelType w:val="multilevel"/>
    <w:tmpl w:val="CF7A01A8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3" w15:restartNumberingAfterBreak="0">
    <w:nsid w:val="569F6818"/>
    <w:multiLevelType w:val="multilevel"/>
    <w:tmpl w:val="3760C1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EF500C"/>
    <w:multiLevelType w:val="multilevel"/>
    <w:tmpl w:val="313C21AE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5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118643C"/>
    <w:multiLevelType w:val="multilevel"/>
    <w:tmpl w:val="4CF0260E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7" w15:restartNumberingAfterBreak="0">
    <w:nsid w:val="733F0893"/>
    <w:multiLevelType w:val="multilevel"/>
    <w:tmpl w:val="3FF609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8"/>
  </w:num>
  <w:num w:numId="5">
    <w:abstractNumId w:val="3"/>
  </w:num>
  <w:num w:numId="6">
    <w:abstractNumId w:val="9"/>
  </w:num>
  <w:num w:numId="7">
    <w:abstractNumId w:val="1"/>
  </w:num>
  <w:num w:numId="8">
    <w:abstractNumId w:val="16"/>
  </w:num>
  <w:num w:numId="9">
    <w:abstractNumId w:val="14"/>
  </w:num>
  <w:num w:numId="10">
    <w:abstractNumId w:val="12"/>
  </w:num>
  <w:num w:numId="11">
    <w:abstractNumId w:val="2"/>
  </w:num>
  <w:num w:numId="12">
    <w:abstractNumId w:val="10"/>
  </w:num>
  <w:num w:numId="13">
    <w:abstractNumId w:val="0"/>
  </w:num>
  <w:num w:numId="14">
    <w:abstractNumId w:val="0"/>
    <w:lvlOverride w:ilvl="1">
      <w:lvl w:ilvl="1">
        <w:numFmt w:val="lowerLetter"/>
        <w:lvlText w:val="%2."/>
        <w:lvlJc w:val="left"/>
      </w:lvl>
    </w:lvlOverride>
  </w:num>
  <w:num w:numId="15">
    <w:abstractNumId w:val="0"/>
    <w:lvlOverride w:ilvl="1">
      <w:lvl w:ilvl="1">
        <w:numFmt w:val="lowerLetter"/>
        <w:lvlText w:val="%2."/>
        <w:lvlJc w:val="left"/>
      </w:lvl>
    </w:lvlOverride>
  </w:num>
  <w:num w:numId="16">
    <w:abstractNumId w:val="0"/>
    <w:lvlOverride w:ilvl="1">
      <w:lvl w:ilvl="1">
        <w:numFmt w:val="lowerLetter"/>
        <w:lvlText w:val="%2."/>
        <w:lvlJc w:val="left"/>
      </w:lvl>
    </w:lvlOverride>
  </w:num>
  <w:num w:numId="17">
    <w:abstractNumId w:val="7"/>
  </w:num>
  <w:num w:numId="18">
    <w:abstractNumId w:val="6"/>
  </w:num>
  <w:num w:numId="19">
    <w:abstractNumId w:val="4"/>
  </w:num>
  <w:num w:numId="20">
    <w:abstractNumId w:val="17"/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231E26"/>
    <w:rsid w:val="00280648"/>
    <w:rsid w:val="00280ED9"/>
    <w:rsid w:val="0038435C"/>
    <w:rsid w:val="004548FB"/>
    <w:rsid w:val="006731F7"/>
    <w:rsid w:val="006C43E2"/>
    <w:rsid w:val="00806F78"/>
    <w:rsid w:val="008D2A75"/>
    <w:rsid w:val="00993769"/>
    <w:rsid w:val="00A85063"/>
    <w:rsid w:val="00B86FEB"/>
    <w:rsid w:val="00C47DBB"/>
    <w:rsid w:val="00C47F4E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70554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2021-07-30T14:40:00Z</dcterms:created>
  <dcterms:modified xsi:type="dcterms:W3CDTF">2022-02-07T08:44:00Z</dcterms:modified>
</cp:coreProperties>
</file>