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4D13" w:rsidRPr="00C25557" w:rsidRDefault="00324D13" w:rsidP="00324D13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ВЕДЕННЯ ВАГІТНОСТІ В АМБУЛАТОРНИХ УМОВАХ</w:t>
      </w:r>
    </w:p>
    <w:p w:rsidR="00324D13" w:rsidRPr="00782456" w:rsidRDefault="00324D13" w:rsidP="00324D13">
      <w:pPr>
        <w:pStyle w:val="Default"/>
        <w:rPr>
          <w:lang w:val="ru-RU"/>
        </w:rPr>
      </w:pP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b/>
          <w:bCs/>
          <w:lang w:val="ru-RU"/>
        </w:rPr>
        <w:t xml:space="preserve">Обсяг медичних послуг, який надавач зобов’язується надавати за договором відповідно до медичних потреб пацієнтки (специфікація) </w:t>
      </w:r>
    </w:p>
    <w:p w:rsidR="00324D13" w:rsidRPr="00782456" w:rsidRDefault="00324D13" w:rsidP="00324D13">
      <w:pPr>
        <w:pStyle w:val="Default"/>
        <w:rPr>
          <w:lang w:val="ru-RU"/>
        </w:rPr>
      </w:pPr>
      <w:r w:rsidRPr="00782456">
        <w:rPr>
          <w:lang w:val="ru-RU"/>
        </w:rPr>
        <w:t xml:space="preserve">1. Динамічне спостереження за перебігом вагітності, включаючи контроль за станом здоров’я вагітних, повнотою обстежень, консультацій, виконанням лікувально-профілактичних заходів, з дотриманням етапності (взяття під нагляд, розробка індивідуального плану ведення вагітності відповідно групи ризику, виконання індивідуального плану) відповідно до галузевих стандартів у сфері охорони здоров’я.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2. Проведення необхідних лабораторних досліджень відповідно до галузевих стандартів у сфері охорони здоров’я, зокрема: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загально-клінічних, біохімічних та імунохімічних лабораторних досліджень: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i</w:t>
      </w:r>
      <w:r w:rsidRPr="00C25557">
        <w:rPr>
          <w:lang w:val="ru-RU"/>
        </w:rPr>
        <w:t xml:space="preserve">.розгорнутий аналіз крові з визначенням кількості тромбоцитів і гематокриту (щонайменше двічі, за показаннями);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ii</w:t>
      </w:r>
      <w:r w:rsidRPr="00C25557">
        <w:rPr>
          <w:lang w:val="ru-RU"/>
        </w:rPr>
        <w:t xml:space="preserve">.визначення групи крові і резус-фактору (при постановці на облік);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iii</w:t>
      </w:r>
      <w:r w:rsidRPr="00C25557">
        <w:rPr>
          <w:lang w:val="ru-RU"/>
        </w:rPr>
        <w:t xml:space="preserve">.аналіз крові на наявність антитіл при </w:t>
      </w:r>
      <w:r w:rsidRPr="00C25557">
        <w:t>Rh</w:t>
      </w:r>
      <w:r w:rsidRPr="00C25557">
        <w:rPr>
          <w:lang w:val="ru-RU"/>
        </w:rPr>
        <w:t xml:space="preserve"> негативній належності крові (щонайменше двічі, за показаннями);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iv</w:t>
      </w:r>
      <w:r w:rsidRPr="00C25557">
        <w:rPr>
          <w:lang w:val="ru-RU"/>
        </w:rPr>
        <w:t xml:space="preserve">.біохімічний аналіз крові (загальний білок, аспартатамінотрансфераза (АсАТ), аланінамінотрансфераза (АлАТ), білірубін і його фракції (загальний, прямий, непрямий), креатинін, сечовина, електроліти, феритин крові);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v</w:t>
      </w:r>
      <w:r w:rsidRPr="00C25557">
        <w:rPr>
          <w:lang w:val="ru-RU"/>
        </w:rPr>
        <w:t xml:space="preserve">.коагуляційний гемостаз (тромбіновий час, активований частковий (парціальний) тромбопластиновий час (АЧТЧ, АПТЧ), фібриноген, міжнародне нормалізоване відношення (МНВ) та час згортання крові);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vi</w:t>
      </w:r>
      <w:r w:rsidRPr="00C25557">
        <w:rPr>
          <w:lang w:val="ru-RU"/>
        </w:rPr>
        <w:t xml:space="preserve">.глюкоза в цільній крові або сироватці крові;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vii</w:t>
      </w:r>
      <w:r w:rsidRPr="00C25557">
        <w:rPr>
          <w:lang w:val="ru-RU"/>
        </w:rPr>
        <w:t xml:space="preserve">.загальний аналіз сечі з обов’язковим визначенням білку (при взятті на облік і при кожному відвідуванні);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viii</w:t>
      </w:r>
      <w:r w:rsidRPr="00C25557">
        <w:rPr>
          <w:lang w:val="ru-RU"/>
        </w:rPr>
        <w:t xml:space="preserve">.глюкозотолерантний тест (щонайменше 1);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ix</w:t>
      </w:r>
      <w:r w:rsidRPr="00C25557">
        <w:rPr>
          <w:lang w:val="ru-RU"/>
        </w:rPr>
        <w:t>.визначення плацентарного фактора росту (</w:t>
      </w:r>
      <w:r w:rsidRPr="00C25557">
        <w:t>PIGF</w:t>
      </w:r>
      <w:r w:rsidRPr="00C25557">
        <w:rPr>
          <w:lang w:val="ru-RU"/>
        </w:rPr>
        <w:t xml:space="preserve">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x</w:t>
      </w:r>
      <w:r w:rsidRPr="00C25557">
        <w:rPr>
          <w:lang w:val="ru-RU"/>
        </w:rPr>
        <w:t>.визначення плазмового протеїну А (</w:t>
      </w:r>
      <w:r w:rsidRPr="00C25557">
        <w:t>PAPP</w:t>
      </w:r>
      <w:r w:rsidRPr="00C25557">
        <w:rPr>
          <w:lang w:val="ru-RU"/>
        </w:rPr>
        <w:t>-</w:t>
      </w:r>
      <w:r w:rsidRPr="00C25557">
        <w:t>A</w:t>
      </w:r>
      <w:r w:rsidRPr="00C25557">
        <w:rPr>
          <w:lang w:val="ru-RU"/>
        </w:rPr>
        <w:t>) та неконьюгованого естріолу (Е3) – щонайменше 1 раз, хоріонічного гонадотропіну (</w:t>
      </w:r>
      <w:r w:rsidRPr="00C25557">
        <w:t>β</w:t>
      </w:r>
      <w:r w:rsidRPr="00C25557">
        <w:rPr>
          <w:lang w:val="ru-RU"/>
        </w:rPr>
        <w:t>-ХГЛ вільний, ХГЛ загальний) та альфафетопротеїну (</w:t>
      </w:r>
      <w:r w:rsidRPr="00C25557">
        <w:t>AFP</w:t>
      </w:r>
      <w:r w:rsidRPr="00C25557">
        <w:rPr>
          <w:lang w:val="ru-RU"/>
        </w:rPr>
        <w:t xml:space="preserve">) – щонайменше двічі.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xi</w:t>
      </w:r>
      <w:r w:rsidRPr="00C25557">
        <w:rPr>
          <w:lang w:val="ru-RU"/>
        </w:rPr>
        <w:t xml:space="preserve">.визначення глікозильованого гемоглобіну.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досліджень на інфекції та віруси: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i</w:t>
      </w:r>
      <w:r w:rsidRPr="00C25557">
        <w:rPr>
          <w:lang w:val="ru-RU"/>
        </w:rPr>
        <w:t>.</w:t>
      </w:r>
      <w:r w:rsidRPr="00C25557">
        <w:t>HBsAg</w:t>
      </w:r>
      <w:r w:rsidRPr="00C25557">
        <w:rPr>
          <w:lang w:val="ru-RU"/>
        </w:rPr>
        <w:t xml:space="preserve"> (при постановці на облік), антитіла до </w:t>
      </w:r>
      <w:r w:rsidRPr="00C25557">
        <w:t>HBsAg</w:t>
      </w:r>
      <w:r w:rsidRPr="00C25557">
        <w:rPr>
          <w:lang w:val="ru-RU"/>
        </w:rPr>
        <w:t xml:space="preserve">, </w:t>
      </w:r>
      <w:r w:rsidRPr="00C25557">
        <w:t>HCV</w:t>
      </w:r>
      <w:r w:rsidRPr="00C25557">
        <w:rPr>
          <w:lang w:val="ru-RU"/>
        </w:rPr>
        <w:t xml:space="preserve">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ii</w:t>
      </w:r>
      <w:r w:rsidRPr="00C25557">
        <w:rPr>
          <w:lang w:val="ru-RU"/>
        </w:rPr>
        <w:t xml:space="preserve">.тестування на ВІЛ;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iii</w:t>
      </w:r>
      <w:r w:rsidRPr="00C25557">
        <w:rPr>
          <w:lang w:val="ru-RU"/>
        </w:rPr>
        <w:t xml:space="preserve">.серологічне дослідження на сифіліс (щонайменше двічі);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iv</w:t>
      </w:r>
      <w:r w:rsidRPr="00C25557">
        <w:rPr>
          <w:lang w:val="ru-RU"/>
        </w:rPr>
        <w:t xml:space="preserve">.бактеріологічне дослідження сечі та інші (при постановці на облік, інше за показами);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v</w:t>
      </w:r>
      <w:r w:rsidRPr="00C25557">
        <w:rPr>
          <w:lang w:val="ru-RU"/>
        </w:rPr>
        <w:t xml:space="preserve">.мікробіологічне дослідження матеріалу з перианальної області з метою виявлення носійства стрептокока групи В.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мікроскопічних та цитологічних обстежень: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i</w:t>
      </w:r>
      <w:r w:rsidRPr="00C25557">
        <w:rPr>
          <w:lang w:val="ru-RU"/>
        </w:rPr>
        <w:t xml:space="preserve">.цитологічне дослідження цервікального мазка (цервікальний канал та ектоцервікс);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ii</w:t>
      </w:r>
      <w:r w:rsidRPr="00C25557">
        <w:rPr>
          <w:lang w:val="ru-RU"/>
        </w:rPr>
        <w:t xml:space="preserve">.мікроскопія урогенітального мазка на мікрофлору.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дослідження кардіоліпінових антитіл, антикоагулянту червоного вовчака, антитіл до бета-2-глікопротеїну – додатково дообстеження жінок з обтяженим анамнезом (з невиношуванням, з репродуктивними втратами, із венозним тромбоемболізмом та ін.);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інших лабораторних досліджень відповідно до потреб пацієнток.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3. Організація забору та транспортування біологічного матеріалу для проведення досліджень у закладі або іншими надавачами медичних послуг на умовах договору підряду.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4. Проведення необхідних інструментальних обстежень відповідно до галузевих стандартів у сфері охорони здоров’я, зокрема: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lastRenderedPageBreak/>
        <w:t>a</w:t>
      </w:r>
      <w:r w:rsidRPr="00C25557">
        <w:rPr>
          <w:lang w:val="ru-RU"/>
        </w:rPr>
        <w:t xml:space="preserve">. УЗД матково-плодово-плацентарного комплексу з використанням доплерографії щонайменше двічі;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трансвагінальна ультразвукова цервікометрія;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УЗД внутрішніх органів;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кольпоскопія;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e</w:t>
      </w:r>
      <w:r w:rsidRPr="00C25557">
        <w:rPr>
          <w:lang w:val="ru-RU"/>
        </w:rPr>
        <w:t xml:space="preserve">. кардіотокографія (КТГ);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f</w:t>
      </w:r>
      <w:r w:rsidRPr="00C25557">
        <w:rPr>
          <w:lang w:val="ru-RU"/>
        </w:rPr>
        <w:t xml:space="preserve">. електрокардіографія (ЕКГ);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t>g</w:t>
      </w:r>
      <w:r w:rsidRPr="00C25557">
        <w:rPr>
          <w:lang w:val="ru-RU"/>
        </w:rPr>
        <w:t xml:space="preserve">. інші інструментальні дослідження відповідно до потреб пацієнток.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5. Забезпечення проведення неінвазивної пренатальної діагностики з розрахунком індивідуального ризику жінки щодо хромосомних аномалій та певних вад розвитку плода за допомогою спеціалізованих комп’ютерних програм.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6. Визначення факторів ризику прееклампсії та проведення комплексу профілактичних заходів.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7. Проведення специфічної профілактики резус-сенсибілізації шляхом введенням антирезусного </w:t>
      </w:r>
      <w:r w:rsidRPr="00C25557">
        <w:t>D</w:t>
      </w:r>
      <w:r w:rsidRPr="00C25557">
        <w:rPr>
          <w:lang w:val="ru-RU"/>
        </w:rPr>
        <w:t xml:space="preserve"> імуноглобуліну, який закуповується закладом.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8. Проведення комплексу профілактичних заходів, спрямованих на запобігання ускладнень вагітності, післяпологового періоду, екстрагенітальних захворювань.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9. Своєчасне виявлення вагітних, які належать до груп ризику (визначення групи ризику, виду ризику та оцінка його ступеня), з наступним дотриманням у веденні вагітності регіоналізації в організації перинатальної допомоги відповідно до чинного законодавства.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10. Направлення вагітної з екстрагенітальним захворюванням до інших спеціалістів для спільного спостереження лікарем-акушером-гінекологом та лікарем-спеціалістом відповідного профілю.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11. Організація (або направлення до) перинатального консиліуму за участю лікаря-генетика, профільних дитячих спеціалістів при виявленні у плода ознак аномалій, вродженої, спадкової патології для уточнення перинатального прогнозу, показань і умов для відповідних втручань.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12. Організація (або направлення до) мультидисциплінарного консиліуму за участю профільних спеціалістів для узгодження стратегії ведення вагітності та пологів у групі високого ризику.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13. Організація (або направлення) на комісію з визначення показань для проведення операції (процедури) штучного переривання вагітності за медичними показами, строк якої становить від 12 до 22 тижнів.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14. Своєчасне направлення вагітних для отримання стаціонарної допомоги з дотриманням регіоналізації в організації надання перинатальної допомоги за їх письмовою згодою.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15. Надання невідкладної медичної допомоги вагітним, виклик бригади екстреної (швидкої) медичної допомоги та надання невідкладної медичної допомоги до її прибуття, визначення подальшої маршрутизації відповідно до галузевих стандартів у сфері охорони здоров’я за їх письмовою згодою.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16. Організація занять у «Школі відповідального батьківства» із залученням членів сім’ї до навчання.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17. Підготовка до пологів з наданням інформаційної, психологічної підтримки та проведенням практичних занять для формування навичок пологової поведінки, грудного вигодовування та догляду за дитиною.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18. Надання повної інформації вагітним щодо перебігу їх вагітності, особливостей індивідуального плану ведення вагітності та пологів. </w:t>
      </w:r>
    </w:p>
    <w:p w:rsidR="00324D13" w:rsidRPr="00C25557" w:rsidRDefault="00324D13" w:rsidP="00324D13">
      <w:pPr>
        <w:pStyle w:val="Default"/>
        <w:rPr>
          <w:lang w:val="ru-RU"/>
        </w:rPr>
      </w:pP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t xml:space="preserve">19. Інформування щодо потреби звернення за медичною допомогою, в тому числі при ознаках початку пологової діяльності із визначенням закладів перинатальної допомоги відповідно до особливостей перебігу вагітності. </w:t>
      </w:r>
    </w:p>
    <w:p w:rsidR="00324D13" w:rsidRPr="00C25557" w:rsidRDefault="00324D13" w:rsidP="00324D13">
      <w:pPr>
        <w:pStyle w:val="Default"/>
        <w:rPr>
          <w:lang w:val="ru-RU"/>
        </w:rPr>
      </w:pPr>
      <w:r w:rsidRPr="00C25557">
        <w:rPr>
          <w:lang w:val="ru-RU"/>
        </w:rPr>
        <w:lastRenderedPageBreak/>
        <w:t xml:space="preserve">20. Охорона здоров’я матерів та новонароджених під час гострої респіраторної хвороби </w:t>
      </w:r>
      <w:r w:rsidRPr="00C25557">
        <w:t>COVID</w:t>
      </w:r>
      <w:r w:rsidRPr="00C25557">
        <w:rPr>
          <w:lang w:val="ru-RU"/>
        </w:rPr>
        <w:t xml:space="preserve">-19, спричиненої коронавірусом </w:t>
      </w:r>
      <w:r w:rsidRPr="00C25557">
        <w:t>SARS</w:t>
      </w:r>
      <w:r w:rsidRPr="00C25557">
        <w:rPr>
          <w:lang w:val="ru-RU"/>
        </w:rPr>
        <w:t>-</w:t>
      </w:r>
      <w:r w:rsidRPr="00C25557">
        <w:t>CoV</w:t>
      </w:r>
      <w:r w:rsidRPr="00C25557">
        <w:rPr>
          <w:lang w:val="ru-RU"/>
        </w:rPr>
        <w:t xml:space="preserve">-2: визначення індивідуального графіку спостереження, у т.ч. з використанням телемедицини, </w:t>
      </w:r>
      <w:r w:rsidRPr="00C25557">
        <w:t>SMS</w:t>
      </w:r>
      <w:r w:rsidRPr="00C25557">
        <w:rPr>
          <w:lang w:val="ru-RU"/>
        </w:rPr>
        <w:t xml:space="preserve">, телефону та ін.). </w:t>
      </w:r>
    </w:p>
    <w:p w:rsidR="006731F7" w:rsidRPr="00324D13" w:rsidRDefault="006731F7" w:rsidP="00324D13">
      <w:bookmarkStart w:id="0" w:name="_GoBack"/>
      <w:bookmarkEnd w:id="0"/>
    </w:p>
    <w:sectPr w:rsidR="006731F7" w:rsidRPr="00324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42B87"/>
    <w:multiLevelType w:val="multilevel"/>
    <w:tmpl w:val="3044F3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D23324"/>
    <w:multiLevelType w:val="multilevel"/>
    <w:tmpl w:val="753ABD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93036"/>
    <w:multiLevelType w:val="multilevel"/>
    <w:tmpl w:val="7256D7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D0283"/>
    <w:multiLevelType w:val="multilevel"/>
    <w:tmpl w:val="0196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43666"/>
    <w:multiLevelType w:val="multilevel"/>
    <w:tmpl w:val="2D686A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CD556F4"/>
    <w:multiLevelType w:val="hybridMultilevel"/>
    <w:tmpl w:val="1136ADCA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D6B24"/>
    <w:multiLevelType w:val="multilevel"/>
    <w:tmpl w:val="4842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47A2175"/>
    <w:multiLevelType w:val="multilevel"/>
    <w:tmpl w:val="6106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631432"/>
    <w:multiLevelType w:val="multilevel"/>
    <w:tmpl w:val="05C4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F46812"/>
    <w:multiLevelType w:val="multilevel"/>
    <w:tmpl w:val="A886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0E77AA"/>
    <w:multiLevelType w:val="hybridMultilevel"/>
    <w:tmpl w:val="1BCEFB7E"/>
    <w:lvl w:ilvl="0" w:tplc="D9867AE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B463C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E64E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6E09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CC8C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FCB4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70C8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C4BE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E0C1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41712"/>
    <w:multiLevelType w:val="multilevel"/>
    <w:tmpl w:val="889E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D65A8"/>
    <w:multiLevelType w:val="hybridMultilevel"/>
    <w:tmpl w:val="4BE86528"/>
    <w:lvl w:ilvl="0" w:tplc="1EC82DB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9C46D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60D9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F2AC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A20A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C886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104D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D022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F0CD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7B3D53"/>
    <w:multiLevelType w:val="multilevel"/>
    <w:tmpl w:val="9B4E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407306"/>
    <w:multiLevelType w:val="multilevel"/>
    <w:tmpl w:val="FFF4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671E06"/>
    <w:multiLevelType w:val="hybridMultilevel"/>
    <w:tmpl w:val="0592266E"/>
    <w:lvl w:ilvl="0" w:tplc="965CAD8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792ED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A253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BCAA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0429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C253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2C4D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4A3A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D8FA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007C6E"/>
    <w:multiLevelType w:val="multilevel"/>
    <w:tmpl w:val="CB22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9"/>
  </w:num>
  <w:num w:numId="3">
    <w:abstractNumId w:val="9"/>
  </w:num>
  <w:num w:numId="4">
    <w:abstractNumId w:val="20"/>
  </w:num>
  <w:num w:numId="5">
    <w:abstractNumId w:val="4"/>
  </w:num>
  <w:num w:numId="6">
    <w:abstractNumId w:val="0"/>
  </w:num>
  <w:num w:numId="7">
    <w:abstractNumId w:val="15"/>
  </w:num>
  <w:num w:numId="8">
    <w:abstractNumId w:val="15"/>
    <w:lvlOverride w:ilvl="1">
      <w:lvl w:ilvl="1">
        <w:numFmt w:val="lowerLetter"/>
        <w:lvlText w:val="%2."/>
        <w:lvlJc w:val="left"/>
      </w:lvl>
    </w:lvlOverride>
  </w:num>
  <w:num w:numId="9">
    <w:abstractNumId w:val="15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0">
    <w:abstractNumId w:val="15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1">
    <w:abstractNumId w:val="15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2">
    <w:abstractNumId w:val="13"/>
  </w:num>
  <w:num w:numId="13">
    <w:abstractNumId w:val="3"/>
  </w:num>
  <w:num w:numId="14">
    <w:abstractNumId w:val="5"/>
  </w:num>
  <w:num w:numId="15">
    <w:abstractNumId w:val="6"/>
  </w:num>
  <w:num w:numId="16">
    <w:abstractNumId w:val="16"/>
    <w:lvlOverride w:ilvl="0">
      <w:lvl w:ilvl="0">
        <w:numFmt w:val="lowerLetter"/>
        <w:lvlText w:val="%1."/>
        <w:lvlJc w:val="left"/>
      </w:lvl>
    </w:lvlOverride>
  </w:num>
  <w:num w:numId="17">
    <w:abstractNumId w:val="10"/>
    <w:lvlOverride w:ilvl="0">
      <w:lvl w:ilvl="0">
        <w:numFmt w:val="lowerRoman"/>
        <w:lvlText w:val="%1."/>
        <w:lvlJc w:val="right"/>
      </w:lvl>
    </w:lvlOverride>
  </w:num>
  <w:num w:numId="18">
    <w:abstractNumId w:val="14"/>
  </w:num>
  <w:num w:numId="19">
    <w:abstractNumId w:val="8"/>
    <w:lvlOverride w:ilvl="0">
      <w:lvl w:ilvl="0">
        <w:numFmt w:val="lowerRoman"/>
        <w:lvlText w:val="%1."/>
        <w:lvlJc w:val="right"/>
      </w:lvl>
    </w:lvlOverride>
  </w:num>
  <w:num w:numId="20">
    <w:abstractNumId w:val="12"/>
  </w:num>
  <w:num w:numId="21">
    <w:abstractNumId w:val="11"/>
    <w:lvlOverride w:ilvl="0">
      <w:lvl w:ilvl="0">
        <w:numFmt w:val="lowerRoman"/>
        <w:lvlText w:val="%1."/>
        <w:lvlJc w:val="right"/>
      </w:lvl>
    </w:lvlOverride>
  </w:num>
  <w:num w:numId="22">
    <w:abstractNumId w:val="17"/>
  </w:num>
  <w:num w:numId="23">
    <w:abstractNumId w:val="17"/>
    <w:lvlOverride w:ilvl="0">
      <w:lvl w:ilvl="0" w:tplc="965CAD82">
        <w:numFmt w:val="lowerLetter"/>
        <w:lvlText w:val="%1."/>
        <w:lvlJc w:val="left"/>
      </w:lvl>
    </w:lvlOverride>
  </w:num>
  <w:num w:numId="24">
    <w:abstractNumId w:val="1"/>
    <w:lvlOverride w:ilvl="0">
      <w:lvl w:ilvl="0">
        <w:numFmt w:val="decimal"/>
        <w:lvlText w:val="%1."/>
        <w:lvlJc w:val="left"/>
      </w:lvl>
    </w:lvlOverride>
  </w:num>
  <w:num w:numId="25">
    <w:abstractNumId w:val="1"/>
    <w:lvlOverride w:ilvl="0">
      <w:lvl w:ilvl="0">
        <w:numFmt w:val="decimal"/>
        <w:lvlText w:val="%1."/>
        <w:lvlJc w:val="left"/>
      </w:lvl>
    </w:lvlOverride>
  </w:num>
  <w:num w:numId="26">
    <w:abstractNumId w:val="18"/>
    <w:lvlOverride w:ilvl="0">
      <w:lvl w:ilvl="0">
        <w:numFmt w:val="lowerLetter"/>
        <w:lvlText w:val="%1."/>
        <w:lvlJc w:val="left"/>
      </w:lvl>
    </w:lvlOverride>
  </w:num>
  <w:num w:numId="27">
    <w:abstractNumId w:val="2"/>
    <w:lvlOverride w:ilvl="0">
      <w:lvl w:ilvl="0">
        <w:numFmt w:val="decimal"/>
        <w:lvlText w:val="%1."/>
        <w:lvlJc w:val="left"/>
      </w:lvl>
    </w:lvlOverride>
  </w:num>
  <w:num w:numId="28">
    <w:abstractNumId w:val="2"/>
    <w:lvlOverride w:ilvl="0">
      <w:lvl w:ilvl="0">
        <w:numFmt w:val="decimal"/>
        <w:lvlText w:val="%1."/>
        <w:lvlJc w:val="left"/>
      </w:lvl>
    </w:lvlOverride>
  </w:num>
  <w:num w:numId="29">
    <w:abstractNumId w:val="2"/>
    <w:lvlOverride w:ilvl="0">
      <w:lvl w:ilvl="0">
        <w:numFmt w:val="decimal"/>
        <w:lvlText w:val="%1."/>
        <w:lvlJc w:val="left"/>
      </w:lvl>
    </w:lvlOverride>
  </w:num>
  <w:num w:numId="30">
    <w:abstractNumId w:val="2"/>
    <w:lvlOverride w:ilvl="0">
      <w:lvl w:ilvl="0">
        <w:numFmt w:val="decimal"/>
        <w:lvlText w:val="%1."/>
        <w:lvlJc w:val="left"/>
      </w:lvl>
    </w:lvlOverride>
  </w:num>
  <w:num w:numId="31">
    <w:abstractNumId w:val="2"/>
    <w:lvlOverride w:ilvl="0">
      <w:lvl w:ilvl="0">
        <w:numFmt w:val="decimal"/>
        <w:lvlText w:val="%1."/>
        <w:lvlJc w:val="left"/>
      </w:lvl>
    </w:lvlOverride>
  </w:num>
  <w:num w:numId="32">
    <w:abstractNumId w:val="2"/>
    <w:lvlOverride w:ilvl="0">
      <w:lvl w:ilvl="0">
        <w:numFmt w:val="decimal"/>
        <w:lvlText w:val="%1."/>
        <w:lvlJc w:val="left"/>
      </w:lvl>
    </w:lvlOverride>
  </w:num>
  <w:num w:numId="33">
    <w:abstractNumId w:val="2"/>
    <w:lvlOverride w:ilvl="0">
      <w:lvl w:ilvl="0">
        <w:numFmt w:val="decimal"/>
        <w:lvlText w:val="%1."/>
        <w:lvlJc w:val="left"/>
      </w:lvl>
    </w:lvlOverride>
  </w:num>
  <w:num w:numId="34">
    <w:abstractNumId w:val="2"/>
    <w:lvlOverride w:ilvl="0">
      <w:lvl w:ilvl="0">
        <w:numFmt w:val="decimal"/>
        <w:lvlText w:val="%1."/>
        <w:lvlJc w:val="left"/>
      </w:lvl>
    </w:lvlOverride>
  </w:num>
  <w:num w:numId="35">
    <w:abstractNumId w:val="2"/>
    <w:lvlOverride w:ilvl="0">
      <w:lvl w:ilvl="0">
        <w:numFmt w:val="decimal"/>
        <w:lvlText w:val="%1."/>
        <w:lvlJc w:val="left"/>
      </w:lvl>
    </w:lvlOverride>
  </w:num>
  <w:num w:numId="36">
    <w:abstractNumId w:val="2"/>
    <w:lvlOverride w:ilvl="0">
      <w:lvl w:ilvl="0">
        <w:numFmt w:val="decimal"/>
        <w:lvlText w:val="%1."/>
        <w:lvlJc w:val="left"/>
      </w:lvl>
    </w:lvlOverride>
  </w:num>
  <w:num w:numId="37">
    <w:abstractNumId w:val="2"/>
    <w:lvlOverride w:ilvl="0">
      <w:lvl w:ilvl="0">
        <w:numFmt w:val="decimal"/>
        <w:lvlText w:val="%1."/>
        <w:lvlJc w:val="left"/>
      </w:lvl>
    </w:lvlOverride>
  </w:num>
  <w:num w:numId="38">
    <w:abstractNumId w:val="2"/>
    <w:lvlOverride w:ilvl="0">
      <w:lvl w:ilvl="0">
        <w:numFmt w:val="decimal"/>
        <w:lvlText w:val="%1."/>
        <w:lvlJc w:val="left"/>
      </w:lvl>
    </w:lvlOverride>
  </w:num>
  <w:num w:numId="39">
    <w:abstractNumId w:val="2"/>
    <w:lvlOverride w:ilvl="0">
      <w:lvl w:ilvl="0">
        <w:numFmt w:val="decimal"/>
        <w:lvlText w:val="%1."/>
        <w:lvlJc w:val="left"/>
      </w:lvl>
    </w:lvlOverride>
  </w:num>
  <w:num w:numId="40">
    <w:abstractNumId w:val="2"/>
    <w:lvlOverride w:ilvl="0">
      <w:lvl w:ilvl="0">
        <w:numFmt w:val="decimal"/>
        <w:lvlText w:val="%1."/>
        <w:lvlJc w:val="left"/>
      </w:lvl>
    </w:lvlOverride>
  </w:num>
  <w:num w:numId="41">
    <w:abstractNumId w:val="2"/>
    <w:lvlOverride w:ilvl="0">
      <w:lvl w:ilvl="0">
        <w:numFmt w:val="decimal"/>
        <w:lvlText w:val="%1."/>
        <w:lvlJc w:val="left"/>
      </w:lvl>
    </w:lvlOverride>
  </w:num>
  <w:num w:numId="42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2309B"/>
    <w:rsid w:val="00036494"/>
    <w:rsid w:val="000617AC"/>
    <w:rsid w:val="002814B2"/>
    <w:rsid w:val="003013BB"/>
    <w:rsid w:val="00324D13"/>
    <w:rsid w:val="006731F7"/>
    <w:rsid w:val="006C43E2"/>
    <w:rsid w:val="0085235E"/>
    <w:rsid w:val="008D2A75"/>
    <w:rsid w:val="00993769"/>
    <w:rsid w:val="00A574AD"/>
    <w:rsid w:val="00A6674A"/>
    <w:rsid w:val="00B25F52"/>
    <w:rsid w:val="00C47F4E"/>
    <w:rsid w:val="00D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3013B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uk-UA" w:eastAsia="en-US"/>
    </w:rPr>
  </w:style>
  <w:style w:type="paragraph" w:styleId="a4">
    <w:name w:val="Normal (Web)"/>
    <w:basedOn w:val="a"/>
    <w:uiPriority w:val="99"/>
    <w:unhideWhenUsed/>
    <w:rsid w:val="00B25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324D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2021-07-30T14:37:00Z</dcterms:created>
  <dcterms:modified xsi:type="dcterms:W3CDTF">2022-02-07T08:38:00Z</dcterms:modified>
</cp:coreProperties>
</file>