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5">
      <w:pPr>
        <w:pStyle w:val="Heading1"/>
        <w:shd w:fill="ffffff" w:val="clear"/>
        <w:spacing w:after="0" w:before="240" w:line="276" w:lineRule="auto"/>
        <w:jc w:val="center"/>
        <w:rPr>
          <w:rFonts w:ascii="Times New Roman" w:cs="Times New Roman" w:eastAsia="Times New Roman" w:hAnsi="Times New Roman"/>
          <w:sz w:val="24"/>
          <w:szCs w:val="24"/>
          <w:highlight w:val="white"/>
        </w:rPr>
      </w:pPr>
      <w:bookmarkStart w:colFirst="0" w:colLast="0" w:name="_heading=h.valq76jwvk6o" w:id="34"/>
      <w:bookmarkEnd w:id="34"/>
      <w:r w:rsidDel="00000000" w:rsidR="00000000" w:rsidRPr="00000000">
        <w:rPr>
          <w:rFonts w:ascii="Times New Roman" w:cs="Times New Roman" w:eastAsia="Times New Roman" w:hAnsi="Times New Roman"/>
          <w:sz w:val="24"/>
          <w:szCs w:val="24"/>
          <w:rtl w:val="0"/>
        </w:rPr>
        <w:t xml:space="preserve">20. ДІАГНОСТИКА ТА ЛІКУВАННЯ ДОРОСЛИХ І ДІТЕЙ, ХВОРИХ НА ТУБЕРКУЛЬОЗ, У СТАЦІОНАРНИХ ТА АМБУЛАТОРНИХ УМОВАХ</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6">
      <w:pPr>
        <w:shd w:fill="ffffff" w:val="clear"/>
        <w:spacing w:after="24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7">
      <w:pPr>
        <w:numPr>
          <w:ilvl w:val="0"/>
          <w:numId w:val="99"/>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Консультування, амбулаторна та стаціонарна медична допомога пацієнту/пацієнтці з туберкульозом (ТБ).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8">
      <w:pPr>
        <w:numPr>
          <w:ilvl w:val="0"/>
          <w:numId w:val="99"/>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Проведення лабораторних досліджень: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9">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розгорнутий клінічний аналіз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A">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визначення групи крові і резус-фактора;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B">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біохімічний аналіз крові (загальний білок, альбумін альфа-амілаза, аспартатамінотрансфераза (АсАТ), аланінамінотрансфераза (АлАТ), лужна фосфатаза, білірубін і його фракції (загальний, прямий, непрямий), креатинін, сечовина, сечова кислота, молочна кислота/лактат електроліти (калій, натрій, кальцій, магній), С-реактивний білок (CРБ, кількісне визначення);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C">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коагуляційний гемостаз (тромбіновий час, активований частковий (парціальний) тромбопластиновий час (АЧТЧ, АПТЧ), </w:t>
      </w:r>
      <w:r w:rsidDel="00000000" w:rsidR="00000000" w:rsidRPr="00000000">
        <w:rPr>
          <w:rFonts w:ascii="Times New Roman" w:cs="Times New Roman" w:eastAsia="Times New Roman" w:hAnsi="Times New Roman"/>
          <w:b w:val="1"/>
          <w:bCs w:val="1"/>
          <w:sz w:val="24"/>
          <w:szCs w:val="24"/>
          <w:highlight w:val="white"/>
          <w:rtl w:val="0"/>
        </w:rPr>
        <w:t xml:space="preserve">фібриноген</w:t>
      </w:r>
      <w:r w:rsidDel="00000000" w:rsidR="00000000" w:rsidRPr="00000000">
        <w:rPr>
          <w:rFonts w:ascii="Times New Roman" w:cs="Times New Roman" w:eastAsia="Times New Roman" w:hAnsi="Times New Roman"/>
          <w:sz w:val="24"/>
          <w:szCs w:val="24"/>
          <w:highlight w:val="white"/>
          <w:rtl w:val="0"/>
        </w:rPr>
        <w:t xml:space="preserve">, міжнародне нормалізоване відношення (МНВ);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D">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тиреотропний гормон (ТТГ);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E">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глюкоза в цільній крові або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BF">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дослідження спинномозкової рідини;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0">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загальний аналіз сечі;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1">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швидкі тести на вагітність, ВІЛ та вірусні гепатити;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2">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швидкі тести на визначення антигена SARS-CoV-2;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3">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бактеріоскопічне дослідження мокротиння та інших зразків біологічного матеріалу на наявність кислотостійких бактерій (КСБ);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4">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культуральне дослідження мокротиння та інших зразків біологічного матеріалу на наявність мікобактерії туберкульозу (МБТ) з проведенням ідентифікації та тест на медикаментозну чутливість (ТМЧ);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5">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бактеріологічні дослідження зразків біологічного матеріалу з визначенням мікроорганізмів та їх антибіотикорезистентності;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6">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цитологічне, гістологічне дослідження біопсійного матеріалу уражених органів;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7">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молекулярно-генетичні дослідження мокротиння та інших зразків біологічного матеріалу на наявність МБТ і наявності у них стійкості до протитуберкульозних засобів;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8">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імуноферментні дослідження;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9">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дослідження на сифіліс;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A">
      <w:pPr>
        <w:numPr>
          <w:ilvl w:val="0"/>
          <w:numId w:val="285"/>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інші лабораторні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B">
      <w:pPr>
        <w:numPr>
          <w:ilvl w:val="0"/>
          <w:numId w:val="284"/>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Проведення необхідних інструментальних обстежень,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C">
      <w:pPr>
        <w:numPr>
          <w:ilvl w:val="0"/>
          <w:numId w:val="113"/>
        </w:numPr>
        <w:shd w:fill="ffffff" w:val="clear"/>
        <w:spacing w:after="0"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рентгенологічні дослідження, зокрема, комп’ютерна томографія;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D">
      <w:pPr>
        <w:numPr>
          <w:ilvl w:val="0"/>
          <w:numId w:val="113"/>
        </w:numPr>
        <w:shd w:fill="ffffff" w:val="clear"/>
        <w:spacing w:after="0"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ультразвукові дослідження;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E">
      <w:pPr>
        <w:numPr>
          <w:ilvl w:val="0"/>
          <w:numId w:val="113"/>
        </w:numPr>
        <w:shd w:fill="ffffff" w:val="clear"/>
        <w:spacing w:after="0"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електрокардіографія (ЕКГ);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CF">
      <w:pPr>
        <w:numPr>
          <w:ilvl w:val="0"/>
          <w:numId w:val="113"/>
        </w:numPr>
        <w:shd w:fill="ffffff" w:val="clear"/>
        <w:spacing w:after="0"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ендоскопічні дослідження, зокрема, бронхоскопія;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0">
      <w:pPr>
        <w:numPr>
          <w:ilvl w:val="0"/>
          <w:numId w:val="113"/>
        </w:numPr>
        <w:shd w:fill="ffffff" w:val="clear"/>
        <w:spacing w:after="0"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інші інструментальні дослідження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1">
      <w:pPr>
        <w:numPr>
          <w:ilvl w:val="0"/>
          <w:numId w:val="301"/>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Визначення плану лікування та спостереження за пацієнтом/пацієнткою із ТБ,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2">
      <w:pPr>
        <w:numPr>
          <w:ilvl w:val="0"/>
          <w:numId w:val="160"/>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розробка індивідуального плану лікування пацієнта/пацієнтки на амбулаторному та/або стаціонарному етапі з урахуванням супутніх захворювань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3">
      <w:pPr>
        <w:numPr>
          <w:ilvl w:val="0"/>
          <w:numId w:val="160"/>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оцінка та формування прихильності пацієнта/пацієнтки до лікування, визначення чинників, які негативно впливають на її формування та відповідне коригування плану лікування, зокрема</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із залученням психологів та соціальних працівників;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4">
      <w:pPr>
        <w:numPr>
          <w:ilvl w:val="0"/>
          <w:numId w:val="160"/>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консультування пацієнта/пацієнтки психологами, лікарями-фтизіатрами та лікарями інших спеціальностей,</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зокрема із застосуванням телемедичних технологій;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5">
      <w:pPr>
        <w:numPr>
          <w:ilvl w:val="0"/>
          <w:numId w:val="160"/>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призначення протитуберкульозної терапії, корекція лікування з урахуванням чутливості/резистентності мікроорганізмів до медикаментів, побічних реакцій, наявності супутньої патології, індивідуальних особливостей пацієнта/пацієнтки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6">
      <w:pPr>
        <w:numPr>
          <w:ilvl w:val="0"/>
          <w:numId w:val="160"/>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визначення показань до госпіталізації пацієнта/пацієнтки та його/її госпіталізація у разі їх наявності;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7">
      <w:pPr>
        <w:numPr>
          <w:ilvl w:val="0"/>
          <w:numId w:val="160"/>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організація амбулаторного лікування туберкульозу, зокрема із залученням лікарів ПМД.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8">
      <w:pPr>
        <w:numPr>
          <w:ilvl w:val="0"/>
          <w:numId w:val="247"/>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медикаментозної терапії лікарськими засобами, постачання яких здійснюється шляхом централізованих закупівель МОЗ, а також лікарськими засобами, визначеними Національним переліком основних лікарських засобів.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9">
      <w:pPr>
        <w:numPr>
          <w:ilvl w:val="0"/>
          <w:numId w:val="247"/>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діагностика та лікування супутніх захворювань із залученням інших спеціалістів або направлення пацієнта/пацієнтки для отримання відповідних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A">
      <w:pPr>
        <w:numPr>
          <w:ilvl w:val="0"/>
          <w:numId w:val="247"/>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Моніторинг результатів ефективності та безпеки лікування пацієнта/пацієнтки та побічних реакцій на протитуберкульозні засоби: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B">
      <w:pPr>
        <w:numPr>
          <w:ilvl w:val="0"/>
          <w:numId w:val="28"/>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контроль за дотриманням плану лікування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C">
      <w:pPr>
        <w:numPr>
          <w:ilvl w:val="0"/>
          <w:numId w:val="28"/>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контроль за результатами лабораторно-інструментальних обстежень, мікробіологічних та інших досліджень;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D">
      <w:pPr>
        <w:numPr>
          <w:ilvl w:val="0"/>
          <w:numId w:val="28"/>
        </w:numPr>
        <w:shd w:fill="ffffff" w:val="clear"/>
        <w:spacing w:after="0"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контроль за побічними реакціями на протитуберкульозні засоби та дотримання тактики дій при їх виявленні в межах чинного законодавства.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E">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DF">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Надання необхідної допомоги пацієнту/пацієнтці із ТБ мультидисциплінарною командою з питань медико-психологічного та соціального супроводу з метою забезпечення доступу до необхідної послуги та подальшого досягнення ефективного результату лікування.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0">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Направлення пацієнтів для отримання реабілітаційної допомоги у післягострому та довготривалому періодах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1">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2">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харчуванням в умовах стаціонару.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3">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оцінювання функціонування пацієнта/пацієнтки експертною командою з оцінювання повсякденного функціонування особи, відповідно до Порядку проведення оцінювання повсякденного функціонування особи, затвердженого постановою Кабінету Міністрів України від 15 листопада 2024 р. № 1338.</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4">
      <w:pPr>
        <w:numPr>
          <w:ilvl w:val="0"/>
          <w:numId w:val="266"/>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надання медичної допомоги дистанційно методами і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5">
      <w:pPr>
        <w:numPr>
          <w:ilvl w:val="0"/>
          <w:numId w:val="266"/>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6">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7">
      <w:pPr>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ДІАГНОСТИКА ТА ЛІКУВАННЯ ДОРОСЛИХ І ДІТЕЙ ІЗ ТУБЕРКУЛЬОЗОМ У СТАЦІОНАРНИХ ТА АМБУЛАТОРНИХ УМОВАХ</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8">
      <w:pPr>
        <w:shd w:fill="ffffff" w:val="clear"/>
        <w:spacing w:after="0" w:before="240" w:line="276" w:lineRule="auto"/>
        <w:ind w:left="3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9">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 </w:t>
      </w:r>
      <w:r w:rsidDel="00000000" w:rsidR="00000000" w:rsidRPr="00000000">
        <w:rPr>
          <w:rFonts w:ascii="Times New Roman" w:cs="Times New Roman" w:eastAsia="Times New Roman" w:hAnsi="Times New Roman"/>
          <w:sz w:val="24"/>
          <w:szCs w:val="24"/>
          <w:highlight w:val="white"/>
          <w:rtl w:val="0"/>
        </w:rPr>
        <w:t xml:space="preserve">амбулаторно та/або стаціонарно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A">
      <w:pPr>
        <w:shd w:fill="ffffff" w:val="clear"/>
        <w:spacing w:after="24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критичні*</w:t>
      </w:r>
      <w:r w:rsidDel="00000000" w:rsidR="00000000" w:rsidRPr="00000000">
        <w:rPr>
          <w:rFonts w:ascii="Times New Roman" w:cs="Times New Roman" w:eastAsia="Times New Roman" w:hAnsi="Times New Roman"/>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B">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направлення лікаря з надання ПМД, якого обрано за декларацією про вибір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C">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направлення лікуючого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D">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переведення з іншого ЗОЗ/клінічного підрозділу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E">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самозвернення пацієнтів з діагнозом туберкульоз (коди: А15-А19).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EF">
      <w:pPr>
        <w:shd w:fill="ffffff" w:val="clear"/>
        <w:spacing w:after="24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0">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Організація та проведення лікування пацієнтів з туберкульозом (ТБ) на амбулаторному та стаціонарному етапах надання медичної допомоги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1">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палати/відділення анестезіології та інтенсивної терапії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2">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палати/відділення для лікування дітей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3">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лабораторії та забезпечення проведення клінічних, біохімічних, бактеріологічних лабораторних досліджень у ЗОЗ на амбулаторному та стаціонарному етапі надання медичної допомоги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4">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Проведення лабораторних досліджень, передбачених специфікаціями надання послуг, зокрема на умовах договору підряду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5">
      <w:pPr>
        <w:keepNext w:val="1"/>
        <w:keepLines w:val="1"/>
        <w:numPr>
          <w:ilvl w:val="0"/>
          <w:numId w:val="26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прижиттєвої патологоанатомічної діагностики у закладі охорони здоров’я (ЗОЗ) або забезпечення транспортування </w:t>
      </w:r>
      <w:r w:rsidDel="00000000" w:rsidR="00000000" w:rsidRPr="00000000">
        <w:rPr>
          <w:rFonts w:ascii="Times New Roman" w:cs="Times New Roman" w:eastAsia="Times New Roman" w:hAnsi="Times New Roman"/>
          <w:rtl w:val="0"/>
        </w:rPr>
        <w:t xml:space="preserve">операційного і біопсійного матеріалу </w:t>
      </w:r>
      <w:r w:rsidDel="00000000" w:rsidR="00000000" w:rsidRPr="00000000">
        <w:rPr>
          <w:rFonts w:ascii="Times New Roman" w:cs="Times New Roman" w:eastAsia="Times New Roman" w:hAnsi="Times New Roman"/>
          <w:sz w:val="24"/>
          <w:szCs w:val="24"/>
          <w:rtl w:val="0"/>
        </w:rPr>
        <w:t xml:space="preserve"> (з дотриманням встановлених правил та норм для транспортування біологічного матеріалу) в лабораторію іншого ЗОЗ, який має у своєму складі патологоанатомічне відділення/лабораторію, або патологоанатомічного бюро/центру, для проведення патогістологічного та імуногістохімічного/імуноцитохімічного/ цитологічного / молекулярно-генетичного дослідження (за потребою), на підставі договорів укладених між ЗОЗ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6">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лабораторного дослідження зразків біологічних матеріалів пацієнтів, які отримують амбулаторне лікування на рівні ПМД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7">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інструментальних досліджень у ЗОЗ або на умовах оренди,  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8">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швидкої діагностики, зокрема, мультирезистентного туберкульозу (МЛС-ТБ), з використанням молекулярно-генетичних методів діагностики ТБ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9">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Оцінка наявності симптомів та ознак депресивних розладів та оцінку рівня споживання алкоголю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A">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цілодобового лікарського та медсестринського догляду за пацієнтами у стаціонарних умовах(</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B">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мультидисциплінарного підходу у роботі з пацієнтами з діагнозом туберкульоз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C">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Організація контрольованого прийому протитуберкульозних засобів пацієнтам під час стаціонарного та/або амбулаторного етапів лікування, зокрема шляхом використання цифрових технологій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D">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Організаційно - методична підтримка лікарів-фтизіатрів, лікарів з надання ПМД, що надають амбулаторну спеціалізовану допомогу та не є працівниками регіональних фтизіопульмонологічних медичних центрів </w:t>
      </w:r>
      <w:sdt>
        <w:sdtPr>
          <w:id w:val="54438998"/>
          <w:tag w:val="goog_rdk_261"/>
        </w:sdtPr>
        <w:sdtContent>
          <w:commentRangeStart w:id="62"/>
        </w:sdtContent>
      </w:sdt>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commentRangeEnd w:id="62"/>
      <w:r w:rsidDel="00000000" w:rsidR="00000000" w:rsidRPr="00000000">
        <w:commentReference w:id="62"/>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E">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Здійснення координації заходів з профілактики та виявлення ТБ регіональним фтизіопульмонологічним медичним центром на території відповідної адміністративно-територіальної одиниці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FF">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Організація виявлення та обстеження контактних щодо туберкульозу осіб, зокрема із залученням лікарів-фтизіатрів, які надають амбулаторну спеціалізовану медичну допомогу на базі інших ЗОЗ, із залученням лікарів з надання ПМД та фахівців територіального закладу громадського здоров’я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0">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Інформування населення з питань профілактики, виявлення та лікування туберкульозу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1">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Надання організаційно-методичної допомоги надавачам медичних послуг з питань діагностики та лікування пацієнтів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2">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highlight w:val="white"/>
          <w:rtl w:val="0"/>
        </w:rPr>
        <w:t xml:space="preserve">допоміжні*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3">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4">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зокрема дистанційно методами і засобами телемедицини </w:t>
      </w:r>
      <w:r w:rsidDel="00000000" w:rsidR="00000000" w:rsidRPr="00000000">
        <w:rPr>
          <w:rFonts w:ascii="Times New Roman" w:cs="Times New Roman" w:eastAsia="Times New Roman" w:hAnsi="Times New Roman"/>
          <w:sz w:val="24"/>
          <w:szCs w:val="24"/>
          <w:highlight w:val="white"/>
          <w:rtl w:val="0"/>
        </w:rPr>
        <w:t xml:space="preserve">(телеконсультування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444746"/>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5">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Організація навчання пацієнтів та членів їхніх родин заходам профілактики інфікування мікобактерією туберкульозу </w:t>
      </w:r>
      <w:sdt>
        <w:sdtPr>
          <w:id w:val="1201318659"/>
          <w:tag w:val="goog_rdk_262"/>
        </w:sdtPr>
        <w:sdtContent>
          <w:commentRangeStart w:id="63"/>
        </w:sdtContent>
      </w:sdt>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commentRangeEnd w:id="63"/>
      <w:r w:rsidDel="00000000" w:rsidR="00000000" w:rsidRPr="00000000">
        <w:commentReference w:id="63"/>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6">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7">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8">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9">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A">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B">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Планування, облік та управління запасами лікарських засобів для лікування туберкульозу, зокрема організація та забезпечення логістики, зберігання та використання протитуберкульозних засобів  відповідно до вимог нормативно-правових актів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C">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D">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E">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Дотримання толерантного ставлення до пацієнтів відповідно до затвердженої у надавача медичних послуг програми протидії дискримінації та стигматизації хворих на туберкульоз та забезпечення конфіденційності відповідних медичних даних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0F">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Залучення щонайменше одного фахівця з соціальної роботи та/або соціального працівника, зокрема за рахунок місцевих бюджетів, коштів інших програм державного бюджету та інших джерел</w:t>
      </w:r>
      <w:sdt>
        <w:sdtPr>
          <w:id w:val="-2115191745"/>
          <w:tag w:val="goog_rdk_263"/>
        </w:sdtPr>
        <w:sdtContent>
          <w:commentRangeStart w:id="64"/>
        </w:sdtContent>
      </w:sdt>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commentRangeEnd w:id="64"/>
      <w:r w:rsidDel="00000000" w:rsidR="00000000" w:rsidRPr="00000000">
        <w:commentReference w:id="64"/>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0">
      <w:pPr>
        <w:numPr>
          <w:ilvl w:val="0"/>
          <w:numId w:val="26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Надання невідкладної медичної допомоги пацієнтам, які перебувають у невідкладних станах, зокрема при раптовому погіршенні фізичного або психічного здоров'я, яке становить пряму та невідворотну загрозу життю та здоров'ю людини або оточуючих її людей, і виникає внаслідок хвороби, травми, отруєння або інших внутрішніх чи зовнішніх причин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1">
      <w:pPr>
        <w:numPr>
          <w:ilvl w:val="0"/>
          <w:numId w:val="265"/>
        </w:numPr>
        <w:shd w:fill="ffffff" w:val="clear"/>
        <w:spacing w:after="48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2">
      <w:pPr>
        <w:shd w:fill="ffffff" w:val="clear"/>
        <w:spacing w:after="24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3">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У ЗОЗ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4">
      <w:pPr>
        <w:numPr>
          <w:ilvl w:val="0"/>
          <w:numId w:val="32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Лікар-рентгенолог – щонайменше 1 особа, яка працює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5">
      <w:pPr>
        <w:numPr>
          <w:ilvl w:val="0"/>
          <w:numId w:val="32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 з ультразвукової діагностики – щонайменше 1 особа, яка працює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6">
      <w:pPr>
        <w:numPr>
          <w:ilvl w:val="0"/>
          <w:numId w:val="32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Лікар-лаборант та/або лікар-бактеріолог, та/або бактеріолог – щонайменше 1 особа, яка працює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7">
      <w:pPr>
        <w:numPr>
          <w:ilvl w:val="0"/>
          <w:numId w:val="32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Лікар-психолог або клінічний психолог, або психолог, або лікар-психотерапевт, або психотерапевт – щонайменше 1 особа із зазначеного переліку, яка працює або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8">
      <w:pPr>
        <w:numPr>
          <w:ilvl w:val="0"/>
          <w:numId w:val="325"/>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Фельдшер-лаборант та/або </w:t>
      </w:r>
      <w:r w:rsidDel="00000000" w:rsidR="00000000" w:rsidRPr="00000000">
        <w:rPr>
          <w:rFonts w:ascii="Times New Roman" w:cs="Times New Roman" w:eastAsia="Times New Roman" w:hAnsi="Times New Roman"/>
          <w:sz w:val="24"/>
          <w:szCs w:val="24"/>
          <w:rtl w:val="0"/>
        </w:rPr>
        <w:t xml:space="preserve">цитоморфолог</w:t>
      </w:r>
      <w:r w:rsidDel="00000000" w:rsidR="00000000" w:rsidRPr="00000000">
        <w:rPr>
          <w:rFonts w:ascii="Times New Roman" w:cs="Times New Roman" w:eastAsia="Times New Roman" w:hAnsi="Times New Roman"/>
          <w:sz w:val="24"/>
          <w:szCs w:val="24"/>
          <w:highlight w:val="white"/>
          <w:rtl w:val="0"/>
        </w:rPr>
        <w:t xml:space="preserve">, та/або лаборант клініко-діагностичної лабораторії, та/або лаборант – щонайменше 4 особи із зазначеного переліку, які працюють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9">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A">
      <w:pPr>
        <w:shd w:fill="ffffff" w:val="clear"/>
        <w:spacing w:after="0" w:before="240" w:line="276"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За місцем надання стаціонарних медичних послуг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B">
      <w:pPr>
        <w:numPr>
          <w:ilvl w:val="0"/>
          <w:numId w:val="270"/>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Лікар-фтизіатр та/або лікар-пульмонолог – щонайменше 4 особи із зазначеного переліку,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C">
      <w:pPr>
        <w:numPr>
          <w:ilvl w:val="0"/>
          <w:numId w:val="270"/>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Лікар-фтизіатр дитячий та/або лікар- пульмонолог дитячий - щонайменше 1 особа із зазначеного переліку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D">
      <w:pPr>
        <w:numPr>
          <w:ilvl w:val="0"/>
          <w:numId w:val="270"/>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Сестра медична/брат медичний – щонайменше 4 особи,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E">
      <w:pPr>
        <w:shd w:fill="ffffff" w:val="clear"/>
        <w:spacing w:after="240" w:before="240" w:line="276"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 У палаті/відділенні інтенсивної терапії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1F">
      <w:pPr>
        <w:numPr>
          <w:ilvl w:val="0"/>
          <w:numId w:val="29"/>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Лікар-анестезіолог та/або лікар-анестезіолог дитячий (за умови надання допомоги дітям) – щонайменше 1 особа із зазначеного переліку, яка працює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0">
      <w:pPr>
        <w:numPr>
          <w:ilvl w:val="0"/>
          <w:numId w:val="29"/>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Сестра медична/брат медичний – щонайменше 4 особи,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1">
      <w:pPr>
        <w:shd w:fill="ffffff" w:val="clear"/>
        <w:spacing w:after="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2">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За місцем надання амбулаторних медичних послуг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3">
      <w:pPr>
        <w:numPr>
          <w:ilvl w:val="0"/>
          <w:numId w:val="282"/>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Лікар-фтизіатр та/або лікар-пульмонолог – щонайменше 1 особа із зазначеного переліку, яка працює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4">
      <w:pPr>
        <w:numPr>
          <w:ilvl w:val="0"/>
          <w:numId w:val="282"/>
        </w:numPr>
        <w:shd w:fill="ffffff" w:val="clear"/>
        <w:spacing w:after="48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Лікар-фтизіатр дитячий та/або лікар-пульмонолог дитячий - щонайменше 1 особа із зазначеного переліку, яка працює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5">
      <w:pPr>
        <w:shd w:fill="ffffff" w:val="clear"/>
        <w:spacing w:after="24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6">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У ЗОЗ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7">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8">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автоматичне перемикальне комутаційне обладнання відповідно до ДСТУ IEC 60947-6-1: 2007;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9">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система рентгенівська діагностична та/або спіральний комп’ютерний томограф (СКТ);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A">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генетично-молекулярна система «GeneXpert»;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B">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система ультразвукової візуалізації;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C">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електрокардіограф багатоканальний;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D">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гнучкий відеобронхоскоп;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E">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ваги для дорослих та ваги дитячі;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2F">
      <w:pPr>
        <w:numPr>
          <w:ilvl w:val="0"/>
          <w:numId w:val="30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ростомір;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0">
      <w:pPr>
        <w:numPr>
          <w:ilvl w:val="0"/>
          <w:numId w:val="302"/>
        </w:numPr>
        <w:shd w:fill="ffffff" w:val="clea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1">
      <w:pPr>
        <w:shd w:fill="ffffff" w:val="clear"/>
        <w:spacing w:after="0" w:line="276"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2">
      <w:pPr>
        <w:shd w:fill="ffffff" w:val="clear"/>
        <w:spacing w:after="0" w:line="276"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1.1.У лабораторії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3">
      <w:pPr>
        <w:numPr>
          <w:ilvl w:val="0"/>
          <w:numId w:val="138"/>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гематологічний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4">
      <w:pPr>
        <w:numPr>
          <w:ilvl w:val="0"/>
          <w:numId w:val="138"/>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біохімічний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5">
      <w:pPr>
        <w:numPr>
          <w:ilvl w:val="0"/>
          <w:numId w:val="138"/>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обладнання для проведення мікробіологічної діагностики ТБ;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6">
      <w:pPr>
        <w:numPr>
          <w:ilvl w:val="0"/>
          <w:numId w:val="138"/>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коагуляційний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7">
      <w:pPr>
        <w:numPr>
          <w:ilvl w:val="0"/>
          <w:numId w:val="138"/>
        </w:numPr>
        <w:shd w:fill="ffffff" w:val="clea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аналізатор сечі.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8">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9">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За місцем надання амбулаторних медичних послуг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A">
      <w:pPr>
        <w:numPr>
          <w:ilvl w:val="0"/>
          <w:numId w:val="86"/>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B">
      <w:pPr>
        <w:numPr>
          <w:ilvl w:val="0"/>
          <w:numId w:val="86"/>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пульсоксиметр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C">
      <w:pPr>
        <w:numPr>
          <w:ilvl w:val="0"/>
          <w:numId w:val="86"/>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глюкометр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D">
      <w:pPr>
        <w:numPr>
          <w:ilvl w:val="0"/>
          <w:numId w:val="86"/>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тонометр та/або тонометр педіатричний з манжетками для дітей різного віку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E">
      <w:pPr>
        <w:numPr>
          <w:ilvl w:val="0"/>
          <w:numId w:val="86"/>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таблиця для перевірки гостроти зору;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3F">
      <w:pPr>
        <w:numPr>
          <w:ilvl w:val="0"/>
          <w:numId w:val="86"/>
        </w:numPr>
        <w:shd w:fill="ffffff" w:val="clea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термометр безконтактний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0">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1">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За місцем надання стаціонарних медичних послуг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2">
      <w:pPr>
        <w:shd w:fill="ffffff" w:val="clear"/>
        <w:spacing w:after="0" w:line="276"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3.1.У кожному відділенні хірургічного/терапевтичного профілю: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3">
      <w:pPr>
        <w:numPr>
          <w:ilvl w:val="0"/>
          <w:numId w:val="26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4">
      <w:pPr>
        <w:numPr>
          <w:ilvl w:val="0"/>
          <w:numId w:val="26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пульсоксиметр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5">
      <w:pPr>
        <w:numPr>
          <w:ilvl w:val="0"/>
          <w:numId w:val="26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глюкометр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6">
      <w:pPr>
        <w:numPr>
          <w:ilvl w:val="0"/>
          <w:numId w:val="26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тонометр та/або тонометр педіатричний з манжетками для дітей різного віку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7">
      <w:pPr>
        <w:numPr>
          <w:ilvl w:val="0"/>
          <w:numId w:val="26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термометр безконтактний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8">
      <w:pPr>
        <w:numPr>
          <w:ilvl w:val="0"/>
          <w:numId w:val="262"/>
        </w:numPr>
        <w:shd w:fill="ffffff" w:val="clear"/>
        <w:spacing w:after="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аспіратор (відсмоктувач);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9">
      <w:pPr>
        <w:numPr>
          <w:ilvl w:val="0"/>
          <w:numId w:val="262"/>
        </w:numPr>
        <w:shd w:fill="ffffff" w:val="clea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автоматичний дозатор лікувальних речовин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A">
      <w:pPr>
        <w:shd w:fill="ffffff" w:val="clear"/>
        <w:spacing w:after="0" w:line="276"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B">
      <w:pPr>
        <w:shd w:fill="ffffff" w:val="clear"/>
        <w:spacing w:after="0" w:line="276"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3.2.У відділенні анестезіології та інтенсивної терапії або палаті інтенсивної терапії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C">
      <w:pPr>
        <w:numPr>
          <w:ilvl w:val="0"/>
          <w:numId w:val="1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D">
      <w:pPr>
        <w:numPr>
          <w:ilvl w:val="0"/>
          <w:numId w:val="1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E">
      <w:pPr>
        <w:numPr>
          <w:ilvl w:val="0"/>
          <w:numId w:val="1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система моніторингу фізіологічних показників одного пацієнта (неінвазивний АТ, ЧСС, ЕКГ, SpO2, t);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4F">
      <w:pPr>
        <w:numPr>
          <w:ilvl w:val="0"/>
          <w:numId w:val="15"/>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0">
      <w:pPr>
        <w:numPr>
          <w:ilvl w:val="0"/>
          <w:numId w:val="15"/>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апарат для CPAP-терапії та/або неінвазивної ШВЛ, та/або апарат інвазивної ШВЛ.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1">
      <w:pPr>
        <w:shd w:fill="ffffff" w:val="clear"/>
        <w:spacing w:after="24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критичні*</w:t>
      </w:r>
      <w:r w:rsidDel="00000000" w:rsidR="00000000" w:rsidRPr="00000000">
        <w:rPr>
          <w:rFonts w:ascii="Times New Roman" w:cs="Times New Roman" w:eastAsia="Times New Roman" w:hAnsi="Times New Roman"/>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2">
      <w:pPr>
        <w:numPr>
          <w:ilvl w:val="0"/>
          <w:numId w:val="27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ліцензії на провадження господарської діяльності з медичної практики за спеціальністю фтизіатрія.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3">
      <w:pPr>
        <w:numPr>
          <w:ilvl w:val="0"/>
          <w:numId w:val="278"/>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4">
      <w:pPr>
        <w:numPr>
          <w:ilvl w:val="0"/>
          <w:numId w:val="278"/>
        </w:numPr>
        <w:shd w:fill="ffffff" w:val="clear"/>
        <w:spacing w:after="24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5">
      <w:pPr>
        <w:shd w:fill="ffffff" w:val="clear"/>
        <w:spacing w:line="240" w:lineRule="auto"/>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6">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