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27">
      <w:pPr>
        <w:pStyle w:val="Heading1"/>
        <w:shd w:fill="ffffff" w:val="clear"/>
        <w:spacing w:after="0" w:before="360" w:line="240" w:lineRule="auto"/>
        <w:jc w:val="center"/>
        <w:rPr>
          <w:rFonts w:ascii="Times New Roman" w:cs="Times New Roman" w:eastAsia="Times New Roman" w:hAnsi="Times New Roman"/>
          <w:sz w:val="24"/>
          <w:szCs w:val="24"/>
        </w:rPr>
      </w:pPr>
      <w:bookmarkStart w:colFirst="0" w:colLast="0" w:name="_heading=h.x12iqxavbcgx" w:id="41"/>
      <w:bookmarkEnd w:id="41"/>
      <w:r w:rsidDel="00000000" w:rsidR="00000000" w:rsidRPr="00000000">
        <w:rPr>
          <w:rFonts w:ascii="Times New Roman" w:cs="Times New Roman" w:eastAsia="Times New Roman" w:hAnsi="Times New Roman"/>
          <w:sz w:val="24"/>
          <w:szCs w:val="24"/>
          <w:rtl w:val="0"/>
        </w:rPr>
        <w:t xml:space="preserve">25. МЕДИЧНА РЕАБІЛІТАЦІЯ НЕМОВЛЯТ, ЯКІ НАРОДИЛИСЬ ПЕРЕДЧАСНО ТА/АБО ХВОРИМИ, ПРОТЯГОМ ПЕРШИХ ТРЬОХ РОКІВ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28">
      <w:pPr>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29">
      <w:pPr>
        <w:shd w:fill="ffffff" w:val="clea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Обсяг медичних послуг, який надавач зобов’язується надавати за договором відповідно до медичних потреб дитини (специфікація)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2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2B">
      <w:pPr>
        <w:numPr>
          <w:ilvl w:val="0"/>
          <w:numId w:val="3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Первинний огляд та консультація спеціалістами мультидисциплінарної реабілітаційної команди.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2C">
      <w:pPr>
        <w:numPr>
          <w:ilvl w:val="0"/>
          <w:numId w:val="3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функціонального обстеження (оцінювання) дитини з використанням міжнародних стандартизованих інструментів (шкали/тести/опитувальники).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2D">
      <w:pPr>
        <w:numPr>
          <w:ilvl w:val="0"/>
          <w:numId w:val="3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спеціального скринінгу на виявлення ознак первазивних розладів розвитку (розладів аутистичного спектра).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2E">
      <w:pPr>
        <w:numPr>
          <w:ilvl w:val="0"/>
          <w:numId w:val="3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Постановка реабілітаційного діагнозу.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2F">
      <w:pPr>
        <w:numPr>
          <w:ilvl w:val="0"/>
          <w:numId w:val="3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Формування індивідуального реабілітаційного плану (з визначенням SMART цілей) та здійснення контролю за його виконанням з оцінюванням прогресу в досягненні поставлених цілей.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30">
      <w:pPr>
        <w:numPr>
          <w:ilvl w:val="0"/>
          <w:numId w:val="3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лабораторних обстежень,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31">
      <w:pPr>
        <w:shd w:fill="ffffff" w:val="clear"/>
        <w:spacing w:after="0" w:line="240" w:lineRule="auto"/>
        <w:ind w:left="5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розгорнутий клінічний аналіз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32">
      <w:pPr>
        <w:shd w:fill="ffffff" w:val="clear"/>
        <w:spacing w:after="0" w:line="240" w:lineRule="auto"/>
        <w:ind w:left="5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біохімічний аналіз крові (загальний білок, білірубін і його фракції (загальний, прямий, непрямий), креатинін, сечовина);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33">
      <w:pPr>
        <w:shd w:fill="ffffff" w:val="clear"/>
        <w:spacing w:after="0" w:line="240" w:lineRule="auto"/>
        <w:ind w:left="5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tab/>
        <w:t xml:space="preserve">глюкоза в цільній крові або сироватці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34">
      <w:pPr>
        <w:shd w:fill="ffffff" w:val="clear"/>
        <w:spacing w:after="0" w:line="240" w:lineRule="auto"/>
        <w:ind w:left="5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tab/>
        <w:t xml:space="preserve">С-реактивний білок;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35">
      <w:pPr>
        <w:shd w:fill="ffffff" w:val="clear"/>
        <w:spacing w:after="0" w:line="240" w:lineRule="auto"/>
        <w:ind w:left="5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tab/>
        <w:t xml:space="preserve">загальний аналіз сечі;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36">
      <w:pPr>
        <w:shd w:fill="ffffff" w:val="clear"/>
        <w:spacing w:after="0" w:line="240" w:lineRule="auto"/>
        <w:ind w:left="5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tab/>
        <w:t xml:space="preserve">інші лабораторні дослідження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37">
      <w:pPr>
        <w:numPr>
          <w:ilvl w:val="0"/>
          <w:numId w:val="3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інструментальних обстежень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38">
      <w:pPr>
        <w:numPr>
          <w:ilvl w:val="0"/>
          <w:numId w:val="3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послуг з реабілітації у сфері охорони здоров’я членами мультидисциплінарної реабілітаційної команди.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39">
      <w:pPr>
        <w:numPr>
          <w:ilvl w:val="0"/>
          <w:numId w:val="3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у закладі охорони здоров’я послуг з реабілітації у сфері охорони здоров’я циклами незалежно від місця реєстрації або проживання дитини, в тому числі, за необхідності, з використанням засобів телекомунікації.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3A">
      <w:pPr>
        <w:numPr>
          <w:ilvl w:val="0"/>
          <w:numId w:val="3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Здійснення моніторингу за виконанням з оцінюванням прогресу в досягненні поставлених цілей.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3B">
      <w:pPr>
        <w:numPr>
          <w:ilvl w:val="0"/>
          <w:numId w:val="3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Оцінювання болю за шкалами оцінки болю своєчасне знеболення (ненаркотичними знеболювальними засобами) пацієнтів за наявності показань на всіх етапах надання їм реабілітаційної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3C">
      <w:pPr>
        <w:numPr>
          <w:ilvl w:val="0"/>
          <w:numId w:val="3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Консультування дитини лікарями інших спеціальностей відповідно до нозології та її стану.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3D">
      <w:pPr>
        <w:numPr>
          <w:ilvl w:val="0"/>
          <w:numId w:val="3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Організація навчання родини/доглядачів особливостям догляду за дитиною та її розвитком, запобіганню можливих ускладнень та дотриманню рекомендацій на всіх етапах надання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3E">
      <w:pPr>
        <w:numPr>
          <w:ilvl w:val="0"/>
          <w:numId w:val="3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Психологічний супровід батьків дитини.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3F">
      <w:pPr>
        <w:numPr>
          <w:ilvl w:val="0"/>
          <w:numId w:val="3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Направлення пацієнта/пацієнтки в інші ЗОЗ/підрозділи для надання їм спеціалізованої медичної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40">
      <w:pPr>
        <w:numPr>
          <w:ilvl w:val="0"/>
          <w:numId w:val="3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Підбір та налаштування допоміжних засобів реабілітації, навчання батьків їх використанню в природному середовищі для дитини та родини.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41">
      <w:pPr>
        <w:numPr>
          <w:ilvl w:val="0"/>
          <w:numId w:val="3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Оцінка стану дитини та можливості переходу на наступний етап надання реабілітаційної допомоги згідно реабілітаційного маршруту з подальшою корекцією індивідуального реабілітаційного плану, враховуючи фактичні зміни функціонального стану дитини</w:t>
      </w:r>
      <w:r w:rsidDel="00000000" w:rsidR="00000000" w:rsidRPr="00000000">
        <w:rPr>
          <w:rFonts w:ascii="Roboto" w:cs="Roboto" w:eastAsia="Roboto" w:hAnsi="Roboto"/>
          <w:color w:val="444746"/>
          <w:sz w:val="21"/>
          <w:szCs w:val="21"/>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42">
      <w:pPr>
        <w:numPr>
          <w:ilvl w:val="0"/>
          <w:numId w:val="3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Харчування дитини в умовах стаціонару.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43">
      <w:pPr>
        <w:numPr>
          <w:ilvl w:val="0"/>
          <w:numId w:val="3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принципів безбар’єрності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4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45">
      <w:pPr>
        <w:shd w:fill="ffffff" w:val="clea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МЕДИЧНА РЕАБІЛІТАЦІЯ НЕМОВЛЯТ, ЯКІ НАРОДИЛИСЬ ПЕРЕДЧАСНО ТА/АБО ХВОРИМИ, ПРОТЯГОМ ПЕРШИХ ТРЬОХ РОКІВ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46">
      <w:pPr>
        <w:shd w:fill="ffffff" w:val="clea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47">
      <w:pPr>
        <w:shd w:fill="ffffff" w:val="clea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Умови закупівлі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4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4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Умови надання послуги:</w:t>
      </w:r>
      <w:r w:rsidDel="00000000" w:rsidR="00000000" w:rsidRPr="00000000">
        <w:rPr>
          <w:rFonts w:ascii="Times New Roman" w:cs="Times New Roman" w:eastAsia="Times New Roman" w:hAnsi="Times New Roman"/>
          <w:sz w:val="24"/>
          <w:szCs w:val="24"/>
          <w:rtl w:val="0"/>
        </w:rPr>
        <w:t xml:space="preserve"> амбулаторно та/або стаціонарно, та/або за місцем перебування дитини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4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4B">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Підстави надання послуги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4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направлення лікаря з надання ПМД, якого обрано за декларацією про вибір лікаря;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4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направлення лікуючого лікаря;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4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переведення з іншого ЗОЗ/клінічного підрозділу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4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50">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організації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51">
      <w:pPr>
        <w:numPr>
          <w:ilvl w:val="0"/>
          <w:numId w:val="2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проведення первинного огляду та подальших консультувань дітей членами мультидисциплінарної реабілітаційної команди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52">
      <w:pPr>
        <w:numPr>
          <w:ilvl w:val="0"/>
          <w:numId w:val="2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оцінювання розвитку дитини, а також спеціального скринінгу на виявлення ознак первазивних розладів розвитку (розладів аутистичного спектра)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53">
      <w:pPr>
        <w:numPr>
          <w:ilvl w:val="0"/>
          <w:numId w:val="2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постановки реабілітаційного діагнозу та/або визначення пріоритетів і функціональних цілей для дитини, батьків та родини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54">
      <w:pPr>
        <w:numPr>
          <w:ilvl w:val="0"/>
          <w:numId w:val="2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формування індивідуального реабілітаційного плану та здійснення контролю за його виконанням  з оцінюванням прогресу в досягненні поставлених цілей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55">
      <w:pPr>
        <w:numPr>
          <w:ilvl w:val="0"/>
          <w:numId w:val="2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проведення лабораторних досліджень, визначених у специфікаціях, у ЗОЗ або на умовах договору підряду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56">
      <w:pPr>
        <w:numPr>
          <w:ilvl w:val="0"/>
          <w:numId w:val="2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проведення інструментальних досліджень у ЗОЗ або на умовах договору підряду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57">
      <w:pPr>
        <w:numPr>
          <w:ilvl w:val="0"/>
          <w:numId w:val="2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Оцінювання болю за шкалами оцінки болю, своєчасне знеболення ненаркотичними знеболювальними засобами пацієнтів за наявності показань на всіх етапах надання їм реабілітаційної допомоги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58">
      <w:pPr>
        <w:numPr>
          <w:ilvl w:val="0"/>
          <w:numId w:val="2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оцінювання нутритивного статусу дитини та його корекції у разі порушень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59">
      <w:pPr>
        <w:numPr>
          <w:ilvl w:val="0"/>
          <w:numId w:val="2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взаємодії з іншими надавачами медичних послуг,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зокрема,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своєчасного та ефективного надання допомоги дитині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5A">
      <w:pPr>
        <w:numPr>
          <w:ilvl w:val="0"/>
          <w:numId w:val="2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Обов’язкове інформування родини/доглядачів дитини щодо можливості отримання інших необхідних медичних послуг безоплатно за рахунок коштів програми медичних гарантій (</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5B">
      <w:pPr>
        <w:numPr>
          <w:ilvl w:val="0"/>
          <w:numId w:val="2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Інформування родини/доглядачів  дитини   щодо можливостей профілактики, лікування та реабілітації, залучення до ухвалення рішень щодо здоров'я  дитини, узгодження  індивідуального реабілітаційного плану  відповідно до їхніх очікувань та можливостей дитини </w:t>
      </w:r>
      <w:sdt>
        <w:sdtPr>
          <w:id w:val="-990502731"/>
          <w:tag w:val="goog_rdk_269"/>
        </w:sdtPr>
        <w:sdtContent>
          <w:commentRangeStart w:id="70"/>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commentRangeEnd w:id="70"/>
      <w:r w:rsidDel="00000000" w:rsidR="00000000" w:rsidRPr="00000000">
        <w:commentReference w:id="70"/>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5C">
      <w:pPr>
        <w:numPr>
          <w:ilvl w:val="0"/>
          <w:numId w:val="2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наданні допомоги в умовах стаціонару забезпечення наявності додаткових місць (щонайменше 1 додаткове місце на кожні 5 ліжок ліжкового фонду) для сумісного перебування батьків або членів родини, або інших законних представників разом з дитиною упродовж надання реабілітаційних послуг у сфері охорони здоров'я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5D">
      <w:pPr>
        <w:numPr>
          <w:ilvl w:val="0"/>
          <w:numId w:val="2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плану дій з профілактики інфекцій та інфекційного контролю та стандартних операційних процедур, відповідно до чинного законодавства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5E">
      <w:pPr>
        <w:numPr>
          <w:ilvl w:val="0"/>
          <w:numId w:val="2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плану протиепідемічної готовності/реагування на випадок виявлення особливо небезпечних інфекційних хвороб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5F">
      <w:pPr>
        <w:numPr>
          <w:ilvl w:val="0"/>
          <w:numId w:val="2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60">
      <w:pPr>
        <w:numPr>
          <w:ilvl w:val="0"/>
          <w:numId w:val="2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вимог законодавства у сфері протидії насильству, зокрема виявлення ознак насильства у пацієнтів та повідомлення відповідних служб відповідно до вимог законодавства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61">
      <w:pPr>
        <w:numPr>
          <w:ilvl w:val="0"/>
          <w:numId w:val="2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62">
      <w:pPr>
        <w:numPr>
          <w:ilvl w:val="0"/>
          <w:numId w:val="2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дотримання принципів безбар’єрності та інклюзії при наданні медичної допомоги, у тому числі з використанням методів і засобів телемедицини відповідно до нормативно-правових актів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63">
      <w:pPr>
        <w:keepLines w:val="1"/>
        <w:numPr>
          <w:ilvl w:val="0"/>
          <w:numId w:val="2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залучення до надання медичної допомоги лікарів-інтернів, які проходять підготовку на визначених у встановленому порядку базах стажування лікарів (фармацевтів)-інтернів і в закладах охорони здоров’я, в яких лікарі (фармацевти)-інтерни проходять практичну частину підготовки в інтернатурі, під керівництвом лікарів-кураторів з дотриманням вимог безпеки пацієнтів та належної якості медичної допомоги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6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65">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спеціалістів та кількості фахівців, які працюють на посадах: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6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6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Лікар-педіатр – щонайменше 1 особа, яка працює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6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Лікар-невролог дитячий – щонайменше 1 особа, яка працює або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6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tab/>
        <w:t xml:space="preserve">Лікар  фізичної та реабілітаційної медицини – щонайменше 2 особи, які працюють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6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tab/>
        <w:t xml:space="preserve">Фізичний терапевт та/або ерготерапевт – щонайменше 2 особи із зазначеного переліку, 1 з яких за основним місцем роботи в цьому ЗОЗ та 1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6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tab/>
        <w:t xml:space="preserve">Асистент фізичного терапевта та/або асистент ерготерапевта, та/або фізичний </w:t>
      </w:r>
      <w:r w:rsidDel="00000000" w:rsidR="00000000" w:rsidRPr="00000000">
        <w:rPr>
          <w:rFonts w:ascii="Times New Roman" w:cs="Times New Roman" w:eastAsia="Times New Roman" w:hAnsi="Times New Roman"/>
          <w:sz w:val="24"/>
          <w:szCs w:val="24"/>
          <w:rtl w:val="0"/>
        </w:rPr>
        <w:t xml:space="preserve">терапевт</w:t>
      </w:r>
      <w:r w:rsidDel="00000000" w:rsidR="00000000" w:rsidRPr="00000000">
        <w:rPr>
          <w:rFonts w:ascii="Times New Roman" w:cs="Times New Roman" w:eastAsia="Times New Roman" w:hAnsi="Times New Roman"/>
          <w:sz w:val="24"/>
          <w:szCs w:val="24"/>
          <w:rtl w:val="0"/>
        </w:rPr>
        <w:t xml:space="preserve">, та/або ерготерапевт – щонайменше 2 особи із зазначеного переліку, які працюють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6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tab/>
        <w:t xml:space="preserve">Лікар-психолог та/або клінічний психолог, та/або психолог, та/або лікар-психотерапевт, та/або психотерапевт – щонайменше 2 особи із зазначеного переліку, які працюють за основним місцем роботи у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6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tab/>
      </w:r>
      <w:sdt>
        <w:sdtPr>
          <w:id w:val="1610829624"/>
          <w:tag w:val="goog_rdk_270"/>
        </w:sdtPr>
        <w:sdtContent>
          <w:commentRangeStart w:id="71"/>
        </w:sdtContent>
      </w:sdt>
      <w:r w:rsidDel="00000000" w:rsidR="00000000" w:rsidRPr="00000000">
        <w:rPr>
          <w:rFonts w:ascii="Times New Roman" w:cs="Times New Roman" w:eastAsia="Times New Roman" w:hAnsi="Times New Roman"/>
          <w:sz w:val="24"/>
          <w:szCs w:val="24"/>
          <w:rtl w:val="0"/>
        </w:rPr>
        <w:t xml:space="preserve">Терапевт мови та мовлення та/або логопед </w:t>
      </w:r>
      <w:commentRangeEnd w:id="71"/>
      <w:r w:rsidDel="00000000" w:rsidR="00000000" w:rsidRPr="00000000">
        <w:commentReference w:id="71"/>
      </w:r>
      <w:r w:rsidDel="00000000" w:rsidR="00000000" w:rsidRPr="00000000">
        <w:rPr>
          <w:rFonts w:ascii="Times New Roman" w:cs="Times New Roman" w:eastAsia="Times New Roman" w:hAnsi="Times New Roman"/>
          <w:sz w:val="24"/>
          <w:szCs w:val="24"/>
          <w:rtl w:val="0"/>
        </w:rPr>
        <w:t xml:space="preserve"> – щонайменше 1 особа, яка працює за основним місцем роботи у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6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tab/>
        <w:t xml:space="preserve">Сестра медична/брат медичний – щонайменше 4 особи, 2 з яких за основним місцем роботи в цьому ЗОЗ та 2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6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70">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переліку обладнання: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7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7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асистивне обладнання для забезпечення мобільності та можливості комунікації (комунікативні дошки, книги, інші пристрої);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7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обладнання для зали реабілітації: мати гімнастичні, настінні дзеркала, підвісне обладнання (гойдалки, гамаки), фітболи/м’ячі різних розмірів та форм, засоби для позиціонування різних розмірів та форм;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7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tab/>
        <w:t xml:space="preserve">вертикалізатори для пацієнтів до трьох років;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7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tab/>
        <w:t xml:space="preserve">стіл реабілітаційний широкий;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7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tab/>
        <w:t xml:space="preserve">стандартизовані тести та нестандартизовані набори для оцінювання функціональних можливостей та/або рівня розвитку дитини;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7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tab/>
        <w:t xml:space="preserve">обладнання, іграшки та/або матеріали для сенсорної стимуляції та розвитку рухових навичок;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7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tab/>
        <w:t xml:space="preserve">ігрові та дидактичні матеріали для розвитку когнітивних та зорово-перцептивних умінь та навичок самообслуговування;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7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tab/>
        <w:t xml:space="preserve">адаптивні засоби та матеріали для розвитку навичок ковтання, годування;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7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термометр безконтактний;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7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tab/>
        <w:t xml:space="preserve">ваги медичні для немовлят;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7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tab/>
        <w:t xml:space="preserve">ростомір;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7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tab/>
        <w:t xml:space="preserve">аптечка для надання невідкладної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7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7F">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Інші вимоги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8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Наявність ліцензії на провадження господарської діяльності з медичної практики за спеціальністю фізична та реабілітаційна медицина та/або педіатрія.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8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82">
      <w:pPr>
        <w:shd w:fill="ffffff" w:val="clear"/>
        <w:spacing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*Критерії поділу умов закупівлі за рівнями вимог відповідно до пункту 5 Порядку укладення, зміни та припинення договору про медичне обслуговування населення за програмою медичних гарантій, затвердженого постановою Кабінету Міністрів України від 25 квітня 2018 р. № 410 “Про договори про медичне обслуговування населення за програмою медичних гарантій”.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8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