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4">
      <w:pPr>
        <w:pStyle w:val="Heading1"/>
        <w:shd w:fill="ffffff" w:val="clear"/>
        <w:spacing w:after="0" w:before="240" w:line="240" w:lineRule="auto"/>
        <w:jc w:val="center"/>
        <w:rPr>
          <w:rFonts w:ascii="Times New Roman" w:cs="Times New Roman" w:eastAsia="Times New Roman" w:hAnsi="Times New Roman"/>
          <w:sz w:val="24"/>
          <w:szCs w:val="24"/>
        </w:rPr>
      </w:pPr>
      <w:bookmarkStart w:colFirst="0" w:colLast="0" w:name="_heading=h.wygj2qjv3mh6" w:id="44"/>
      <w:bookmarkEnd w:id="44"/>
      <w:r w:rsidDel="00000000" w:rsidR="00000000" w:rsidRPr="00000000">
        <w:rPr>
          <w:rFonts w:ascii="Times New Roman" w:cs="Times New Roman" w:eastAsia="Times New Roman" w:hAnsi="Times New Roman"/>
          <w:sz w:val="24"/>
          <w:szCs w:val="24"/>
          <w:rtl w:val="0"/>
        </w:rPr>
        <w:t xml:space="preserve">37. ЛІКУВАННЯ ПАЦІЄНТІВ МЕТОДОМ ПЕРИТОНЕАЛЬНОГО  ДІАЛІЗУ В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5">
      <w:pPr>
        <w:keepLines w:val="1"/>
        <w:shd w:fill="ffffff" w:val="clear"/>
        <w:spacing w:after="240" w:before="240" w:line="276" w:lineRule="auto"/>
        <w:ind w:left="5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6">
      <w:pPr>
        <w:keepLines w:val="1"/>
        <w:shd w:fill="ffffff" w:val="clear"/>
        <w:spacing w:after="0" w:line="276" w:lineRule="auto"/>
        <w:ind w:left="14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Первинний огляд пацієнта/пацієнтки та подальше лікарське спостереження за станом життєво важливих функцій організму.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7">
      <w:pPr>
        <w:keepLines w:val="1"/>
        <w:shd w:fill="ffffff" w:val="clear"/>
        <w:spacing w:after="0" w:line="276" w:lineRule="auto"/>
        <w:ind w:left="14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Контроль ефективності (адекватності) діалізного лікування методами перитонеального діалізу (ПД): постійного перитонеального діалізу (ПАПД) та/або автоматизованого перитонеального діалізу (АПД), включаючи оцінку та корекцію нутриційного статусу, своєчасну діагностику, профілактику та лікування інфекційних та неінфекційних ускладнень перитонеального діалізу, із направленням пацієнта/пацієнтки до лікарів-спеціалістів інших профілів.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8">
      <w:pPr>
        <w:keepLines w:val="1"/>
        <w:shd w:fill="ffffff" w:val="clear"/>
        <w:spacing w:after="0" w:line="276" w:lineRule="auto"/>
        <w:ind w:left="14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Перевірка ПД-освіти пацієнта/пацієнтки та, за потреби, проведення повторного навчання. Навчання родичів пацієнта/пацієнтки методикам ПАПД/АПД у випадку, коли він/вона не може самостійно проводити процедуру.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9">
      <w:pPr>
        <w:keepLines w:val="1"/>
        <w:shd w:fill="ffffff" w:val="clear"/>
        <w:spacing w:after="0" w:line="276" w:lineRule="auto"/>
        <w:ind w:left="14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Оцінка можливості організації процедур перитонеального діалізу пацієнтом/пацієнткою самостійно.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A">
      <w:pPr>
        <w:keepLines w:val="1"/>
        <w:shd w:fill="ffffff" w:val="clear"/>
        <w:spacing w:after="0" w:line="276" w:lineRule="auto"/>
        <w:ind w:left="14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Призначення лікування методом перитонеального діалізу із зазначенням типу розчину, об’єму розчину, кратності проведення обмінів, виду ПД (ПАПД або АПД).</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B">
      <w:pPr>
        <w:keepLines w:val="1"/>
        <w:shd w:fill="ffffff" w:val="clear"/>
        <w:spacing w:after="0" w:line="276" w:lineRule="auto"/>
        <w:ind w:left="14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 Організація проведення процедур перитонеального діалізу пацієнтом/пацієнткою самостійно: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C">
      <w:pPr>
        <w:keepLines w:val="1"/>
        <w:shd w:fill="ffffff" w:val="clear"/>
        <w:spacing w:after="0" w:line="276" w:lineRule="auto"/>
        <w:ind w:lef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у випадку можливості самостійного проведення процедури ПД – надання та доставка за місцем проживання пацієнта/пацієнтки виробів медичного призначення (включаючи циклери для АПД) та лікарських засобів; виконання процедури перитонеального діалізу в амбулаторних умовах; а також, організація тимчасового проведення процедур ПД (ПАПД/АПД) в амбулаторних умовах в ЗОЗ (у разі необхідності), контроль за використанням циклерів для АПД, витратних медичних матеріалів та лікарських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D">
      <w:pPr>
        <w:keepLines w:val="1"/>
        <w:shd w:fill="ffffff" w:val="clear"/>
        <w:spacing w:after="0" w:line="276" w:lineRule="auto"/>
        <w:ind w:lef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у випадку неможливості самостійного проведення процедури особою – навчання родичів пацієнта/пацієнтки виконанню процедури ПД (ПАПД/АПД) в амбулаторних умовах, а також, у разі необхідності, організація тимчасового проведення процедур ПД (ПАПД/АПД) в амбулаторних умовах в ЗОЗ; надання та доставка за місцем проживання пацієнта/пацієнтки виробів медичного призначення (включаючи циклери для АПД) та лікарських засобів; контроль за використанням циклерів для АПД, витратних медичних матеріалів та лікарських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E">
      <w:pPr>
        <w:keepLines w:val="1"/>
        <w:shd w:fill="ffffff" w:val="clear"/>
        <w:spacing w:after="0" w:line="276" w:lineRule="auto"/>
        <w:ind w:left="28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у випадку госпіталізації пацієнта/пацієнтки до іншого ЗОЗ – забезпечення проведення консультації лікарем-нефрологом і контроль наявності у пацієнта/пацієнтки достатньої кількості виробів медичного призначення та лікарських засобів для проведення ПД, а у разі необхідності (за запитом пацієнта/пацієнтки) – доставка виробів медичного призначення (включаючи циклери для АПД) та лікарських засобів до місця безпосереднього перебування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3F">
      <w:pPr>
        <w:keepLines w:val="1"/>
        <w:shd w:fill="ffffff" w:val="clear"/>
        <w:spacing w:after="0" w:line="276" w:lineRule="auto"/>
        <w:ind w:left="14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Консультування, зокрема засобами телемедицини  (телеконсультування/телевідеоконсультування у режимі реального або відкладеного часу)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0">
      <w:pPr>
        <w:keepLines w:val="1"/>
        <w:shd w:fill="ffffff" w:val="clear"/>
        <w:spacing w:after="0" w:line="276" w:lineRule="auto"/>
        <w:ind w:left="14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Проведення необхідних лабораторних досліджень відповідно до галузевих стандартів у сфері охорони здоров’я,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1">
      <w:pPr>
        <w:keepLines w:val="1"/>
        <w:shd w:fill="ffffff" w:val="clear"/>
        <w:spacing w:after="0" w:line="276" w:lineRule="auto"/>
        <w:ind w:lef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розгорнутий клінічний аналіз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2">
      <w:pPr>
        <w:keepLines w:val="1"/>
        <w:shd w:fill="ffffff" w:val="clear"/>
        <w:spacing w:after="0" w:line="276" w:lineRule="auto"/>
        <w:ind w:lef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аналіз сечі загальний;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3">
      <w:pPr>
        <w:keepLines w:val="1"/>
        <w:shd w:fill="ffffff" w:val="clear"/>
        <w:spacing w:after="0" w:line="276" w:lineRule="auto"/>
        <w:ind w:lef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біохімічний аналіз крові (сечовина, креатинін, загальний білок, альбумін, електроліти: натрій, калій, кальцій, фосфор, хлор), сироваткове залізо, феритин;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4">
      <w:pPr>
        <w:keepLines w:val="1"/>
        <w:shd w:fill="ffffff" w:val="clear"/>
        <w:spacing w:after="0" w:line="276" w:lineRule="auto"/>
        <w:ind w:lef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глюкоза в цільній крові або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5">
      <w:pPr>
        <w:keepLines w:val="1"/>
        <w:shd w:fill="ffffff" w:val="clear"/>
        <w:spacing w:after="0" w:line="276" w:lineRule="auto"/>
        <w:ind w:lef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ліпідний профіль (тригліцериди, загальний холестерин, ліпопротеїди низької щільності (ЛПНЩ), ліпопротеїди високої щільності (ЛПВЩ));</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6">
      <w:pPr>
        <w:keepLines w:val="1"/>
        <w:shd w:fill="ffffff" w:val="clear"/>
        <w:spacing w:after="0" w:line="276" w:lineRule="auto"/>
        <w:ind w:lef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індекс еритроцитів, число ретикулоцитів, відсоток насичення трансферину залізом, сироватковий феритин;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7">
      <w:pPr>
        <w:keepLines w:val="1"/>
        <w:shd w:fill="ffffff" w:val="clear"/>
        <w:spacing w:after="0" w:line="276" w:lineRule="auto"/>
        <w:ind w:lef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контроль залишкової функції нирок (ЗФН);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8">
      <w:pPr>
        <w:keepLines w:val="1"/>
        <w:shd w:fill="ffffff" w:val="clear"/>
        <w:spacing w:after="0" w:line="276" w:lineRule="auto"/>
        <w:ind w:lef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Kt/Vurea;</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9">
      <w:pPr>
        <w:keepLines w:val="1"/>
        <w:shd w:fill="ffffff" w:val="clear"/>
        <w:spacing w:after="0" w:line="276" w:lineRule="auto"/>
        <w:ind w:lef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тест перитонеальної рівноваги (PET).</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A">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Забезпечення менеджменту перитонеального катетера: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B">
      <w:pPr>
        <w:keepLines w:val="1"/>
        <w:shd w:fill="ffffff" w:val="clear"/>
        <w:spacing w:after="0" w:line="276" w:lineRule="auto"/>
        <w:ind w:lef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направлення для хірургічної імплантації перитонеального катетера;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C">
      <w:pPr>
        <w:keepLines w:val="1"/>
        <w:shd w:fill="ffffff" w:val="clear"/>
        <w:spacing w:after="0" w:line="276" w:lineRule="auto"/>
        <w:ind w:lef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профілактика інфекційних ускладнень, пов’язаних з тривалим перебуванням перитонеального катетера у черевній порожнині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D">
      <w:pPr>
        <w:keepLines w:val="1"/>
        <w:shd w:fill="ffffff" w:val="clear"/>
        <w:spacing w:after="0" w:line="276" w:lineRule="auto"/>
        <w:ind w:left="4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направлення пацієнта/пацієнтки, за необхідності, до ЗОЗ при ускладненнях, пов’язаних з діалізним перитонітом, інфекцією місця виходу катетера і тунельною інфекцією.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E">
      <w:pPr>
        <w:keepLines w:val="1"/>
        <w:shd w:fill="ffffff" w:val="clear"/>
        <w:spacing w:after="0" w:line="276" w:lineRule="auto"/>
        <w:ind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Забезпечення своєчасної діагностики анемії та проведення її медикаментозного лікування.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4F">
      <w:pPr>
        <w:keepLines w:val="1"/>
        <w:shd w:fill="ffffff" w:val="clear"/>
        <w:spacing w:after="0" w:line="276" w:lineRule="auto"/>
        <w:ind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0">
      <w:pPr>
        <w:keepLines w:val="1"/>
        <w:shd w:fill="ffffff" w:val="clear"/>
        <w:spacing w:after="0" w:line="276" w:lineRule="auto"/>
        <w:ind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Надання своєчасної невідкладної медичної допомоги пацієнту/пацієнтці при виникненні у нього/неї станів, що загрожують життю, у разі проведення процедури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1">
      <w:pPr>
        <w:keepLines w:val="1"/>
        <w:shd w:fill="ffffff" w:val="clear"/>
        <w:spacing w:after="0" w:line="276" w:lineRule="auto"/>
        <w:ind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Направлення пацієнта/пацієнтки для отримання спеціалізованої медичної допомоги, інших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2">
      <w:pPr>
        <w:keepLines w:val="1"/>
        <w:shd w:fill="ffffff" w:val="clear"/>
        <w:spacing w:after="0" w:line="276" w:lineRule="auto"/>
        <w:ind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3">
      <w:pPr>
        <w:keepLines w:val="1"/>
        <w:shd w:fill="ffffff" w:val="clear"/>
        <w:spacing w:after="240" w:before="240" w:line="276" w:lineRule="auto"/>
        <w:ind w:firstLine="70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ЛІКУВАННЯ ПАЦІЄНТІВ МЕТОДОМ ПЕРИТОНЕАЛЬНОГО  ДІАЛІЗУ В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4">
      <w:pPr>
        <w:keepLines w:val="1"/>
        <w:shd w:fill="ffffff" w:val="clear"/>
        <w:spacing w:after="240" w:before="240" w:line="276" w:lineRule="auto"/>
        <w:ind w:left="560" w:firstLine="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5">
      <w:pPr>
        <w:keepLines w:val="1"/>
        <w:shd w:fill="ffffff" w:val="clear"/>
        <w:spacing w:after="240" w:before="240" w:line="276" w:lineRule="auto"/>
        <w:ind w:left="560" w:right="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Умови надання послуги: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амбулаторно та/або за місцем проживання/перебування пацієнта/пацієнтки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6">
      <w:pPr>
        <w:keepLines w:val="1"/>
        <w:shd w:fill="ffffff" w:val="clear"/>
        <w:spacing w:after="240" w:before="240" w:line="276" w:lineRule="auto"/>
        <w:ind w:lef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Підстави надання послуги</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направлення лікаря-нефролога/лікаря-нефролога дитячого при встановленому діагнозі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7">
      <w:pPr>
        <w:keepLines w:val="1"/>
        <w:shd w:fill="ffffff" w:val="clear"/>
        <w:spacing w:after="0" w:line="276" w:lineRule="auto"/>
        <w:ind w:left="15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N18.4 Хронічна хвороба нирок, стадія 4 (виключно до показів, вказаних у галузевих стандартах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8">
      <w:pPr>
        <w:keepLines w:val="1"/>
        <w:shd w:fill="ffffff" w:val="clear"/>
        <w:spacing w:after="0" w:line="276" w:lineRule="auto"/>
        <w:ind w:left="15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N18.5 Хронічна хвороба нирок, стадія 5;</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9">
      <w:pPr>
        <w:keepLines w:val="1"/>
        <w:shd w:fill="ffffff" w:val="clear"/>
        <w:spacing w:after="0" w:line="276" w:lineRule="auto"/>
        <w:ind w:left="15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N18.8 Інші прояви хронічної ниркової недостатності;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A">
      <w:pPr>
        <w:keepLines w:val="1"/>
        <w:shd w:fill="ffffff" w:val="clear"/>
        <w:spacing w:after="0" w:line="276" w:lineRule="auto"/>
        <w:ind w:left="15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N18.9 Хронічна хвороба нирок неуточнена;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B">
      <w:pPr>
        <w:keepLines w:val="1"/>
        <w:shd w:fill="ffffff" w:val="clear"/>
        <w:spacing w:after="0" w:line="276" w:lineRule="auto"/>
        <w:ind w:left="150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N19 Ниркова недостатність неуточнена.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C">
      <w:pPr>
        <w:keepLines w:val="1"/>
        <w:shd w:fill="ffffff" w:val="clear"/>
        <w:spacing w:after="240" w:before="240" w:line="276" w:lineRule="auto"/>
        <w:ind w:right="40" w:firstLine="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D">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Забезпечення можливості вільного вибору пацієнтами ЗОЗ, де проводиться лікування методом перитонеального діалізу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E">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Наявність обладнаного приміщення для навчання та практичних занять з пацієнтами відповідно до галузевих стандартів у сфері охорони здоров’я </w:t>
      </w:r>
      <w:sdt>
        <w:sdtPr>
          <w:id w:val="1207510890"/>
          <w:tag w:val="goog_rdk_272"/>
        </w:sdtPr>
        <w:sdtContent>
          <w:commentRangeStart w:id="73"/>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73"/>
      <w:r w:rsidDel="00000000" w:rsidR="00000000" w:rsidRPr="00000000">
        <w:commentReference w:id="73"/>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5F">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Наявність розробленої програми навчання пацієнтів методиці проведення ПАПД, АПД та протоколів лікування цими методами </w:t>
      </w:r>
      <w:sdt>
        <w:sdtPr>
          <w:id w:val="-62889401"/>
          <w:tag w:val="goog_rdk_273"/>
        </w:sdtPr>
        <w:sdtContent>
          <w:commentRangeStart w:id="74"/>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commentRangeEnd w:id="74"/>
      <w:r w:rsidDel="00000000" w:rsidR="00000000" w:rsidRPr="00000000">
        <w:commentReference w:id="74"/>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0">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Контроль за видачею та використанням апаратів для АПД (за наявності відповідного обладнання)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1">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Забезпечення доставки медичних виробів та лікарських засобів для проведення перитонеального діалізу (ПАПД/АПД) за місцем перебування пацієнтів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2">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Забезпечення можливості проведення ПД (ПАПД/АПД) в амбулаторних умовах на етапі навчання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3">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Забезпечення проведення лабораторних досліджень, визначених специфікаціями, у ЗОЗ, або на умовах оренди, або договору підряду, або на інших умовах  користування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4">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Забезпечення консультування, зокрема засобами телемедицини  (телеконсультування/телевідеоконсультування у режимі реального або відкладеного часу)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5">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Забезпечення хімічної та мікробіологічної безпеки у відділенні при проведенні ПД (ПАПД/АПД) в амбулаторних умовах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6">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Взаємодія з іншими надавачами медичних послуг для своєчасного та ефективного надання допомоги пацієнтам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7">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rtl w:val="0"/>
        </w:rPr>
        <w:t xml:space="preserve">допоміжні*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8">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Інформування пацієнтів щодо можливостей профілактики та лікування, залучення до ухвалення рішень щодо їхнього здоров'я, узгодження плану лікування з пацієнтами відповідно до їхніх очікувань та можливостей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9">
      <w:pPr>
        <w:keepLines w:val="1"/>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Наявність плану дій з профілактики інфекцій та інфекційного контролю та стандартних операційних процедур, відповідно до чинного законодавства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A">
      <w:pPr>
        <w:keepLines w:val="1"/>
        <w:numPr>
          <w:ilvl w:val="0"/>
          <w:numId w:val="143"/>
        </w:numPr>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плану протиепідемічної готовності/реагування на випадок виявлення особливо небезпечних інфекційних хвороб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B">
      <w:pPr>
        <w:keepLines w:val="1"/>
        <w:numPr>
          <w:ilvl w:val="0"/>
          <w:numId w:val="143"/>
        </w:numPr>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стандартних операційних процедур з менеджменту перитонеального катетера щодо профілактики інфекційних ускладнень, пов’язаних з перебуванням перитонеального катетера у черевній порожнині пацієнта/пацієнтки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C">
      <w:pPr>
        <w:keepLines w:val="1"/>
        <w:numPr>
          <w:ilvl w:val="0"/>
          <w:numId w:val="143"/>
        </w:numPr>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D">
      <w:pPr>
        <w:keepLines w:val="1"/>
        <w:numPr>
          <w:ilvl w:val="0"/>
          <w:numId w:val="143"/>
        </w:numPr>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E">
      <w:pPr>
        <w:keepLines w:val="1"/>
        <w:numPr>
          <w:ilvl w:val="0"/>
          <w:numId w:val="143"/>
        </w:numPr>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6F">
      <w:pPr>
        <w:keepLines w:val="1"/>
        <w:numPr>
          <w:ilvl w:val="0"/>
          <w:numId w:val="143"/>
        </w:numPr>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0">
      <w:pPr>
        <w:keepLines w:val="1"/>
        <w:numPr>
          <w:ilvl w:val="0"/>
          <w:numId w:val="143"/>
        </w:numPr>
        <w:shd w:fill="ffffff" w:val="clear"/>
        <w:spacing w:after="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1">
      <w:pPr>
        <w:keepLines w:val="1"/>
        <w:numPr>
          <w:ilvl w:val="0"/>
          <w:numId w:val="143"/>
        </w:numPr>
        <w:shd w:fill="ffffff" w:val="clear"/>
        <w:spacing w:after="24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2">
      <w:pPr>
        <w:keepLines w:val="1"/>
        <w:shd w:fill="ffffff" w:val="clear"/>
        <w:spacing w:after="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3">
      <w:pPr>
        <w:keepLines w:val="1"/>
        <w:shd w:fill="ffffff" w:val="clear"/>
        <w:spacing w:after="240" w:before="240" w:line="276" w:lineRule="auto"/>
        <w:ind w:firstLine="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Вимоги до спеціалістів та кількості фахівців, які працюють на посадах: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4">
      <w:pPr>
        <w:keepLines w:val="1"/>
        <w:numPr>
          <w:ilvl w:val="0"/>
          <w:numId w:val="135"/>
        </w:numPr>
        <w:shd w:fill="ffffff" w:val="clear"/>
        <w:spacing w:after="240" w:line="276" w:lineRule="auto"/>
        <w:ind w:left="28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ЗОЗ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5">
      <w:pPr>
        <w:keepLines w:val="1"/>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Лікар-нефролог та/або лікар-нефролог дитячий (за умови надання допомоги дітям) – щонайменше 1 особа із зазначеного переліку, яка працює за основним місцем роботи в цьому ЗОЗ або за сумісництвом.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6">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 місцем надання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7">
      <w:pPr>
        <w:keepLines w:val="1"/>
        <w:shd w:fill="ffffff" w:val="clea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Сестра медична/брат медичний – щонайменше 2 особи, які працюють за основним місцем роботи у цьому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8">
      <w:pPr>
        <w:keepLines w:val="1"/>
        <w:shd w:fill="ffffff" w:val="clear"/>
        <w:spacing w:after="240" w:before="240" w:line="276" w:lineRule="auto"/>
        <w:ind w:right="40" w:firstLine="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9">
      <w:pPr>
        <w:keepLines w:val="1"/>
        <w:numPr>
          <w:ilvl w:val="0"/>
          <w:numId w:val="145"/>
        </w:numPr>
        <w:shd w:fill="ffffff" w:val="clear"/>
        <w:spacing w:after="240" w:line="276" w:lineRule="auto"/>
        <w:ind w:left="141" w:right="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місцем надання медичних послуг (</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A">
      <w:pPr>
        <w:keepLines w:val="1"/>
        <w:shd w:fill="ffffff" w:val="clear"/>
        <w:spacing w:after="0" w:line="276"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B">
      <w:pPr>
        <w:keepLines w:val="1"/>
        <w:shd w:fill="ffffff" w:val="clear"/>
        <w:spacing w:after="0" w:line="276"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тонометр та/або тонометр педіатричний з манжетками для дітей різного віку;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C">
      <w:pPr>
        <w:keepLines w:val="1"/>
        <w:shd w:fill="ffffff" w:val="clear"/>
        <w:spacing w:after="0" w:line="276"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D">
      <w:pPr>
        <w:keepLines w:val="1"/>
        <w:shd w:fill="ffffff" w:val="clear"/>
        <w:spacing w:after="0" w:line="276"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E">
      <w:pPr>
        <w:keepLines w:val="1"/>
        <w:shd w:fill="ffffff" w:val="clear"/>
        <w:spacing w:after="0" w:line="276"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глюкометр;</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7F">
      <w:pPr>
        <w:keepLines w:val="1"/>
        <w:shd w:fill="ffffff" w:val="clear"/>
        <w:spacing w:after="0" w:line="276"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ваги медичні;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0">
      <w:pPr>
        <w:keepLines w:val="1"/>
        <w:shd w:fill="ffffff" w:val="clear"/>
        <w:spacing w:after="0" w:line="276"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пристрій для підігрівання розчинів для перитонеального діалізу;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1">
      <w:pPr>
        <w:keepLines w:val="1"/>
        <w:shd w:fill="ffffff" w:val="clear"/>
        <w:spacing w:after="0" w:line="276"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ваги зі шкалою вимірювання не менше 5 г для зважування розчинів;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2">
      <w:pPr>
        <w:keepLines w:val="1"/>
        <w:shd w:fill="ffffff" w:val="clear"/>
        <w:spacing w:after="0" w:line="276"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термометр безконтактний;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3">
      <w:pPr>
        <w:keepLines w:val="1"/>
        <w:shd w:fill="ffffff" w:val="clear"/>
        <w:spacing w:after="0" w:line="276" w:lineRule="auto"/>
        <w:ind w:right="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аптечка для надання невідкладної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4">
      <w:pPr>
        <w:keepLines w:val="1"/>
        <w:shd w:fill="ffffff" w:val="clear"/>
        <w:spacing w:after="240" w:before="240" w:line="276" w:lineRule="auto"/>
        <w:ind w:right="40" w:firstLine="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Інші вимоги (</w:t>
      </w:r>
      <w:r w:rsidDel="00000000" w:rsidR="00000000" w:rsidRPr="00000000">
        <w:rPr>
          <w:rFonts w:ascii="Times New Roman" w:cs="Times New Roman" w:eastAsia="Times New Roman" w:hAnsi="Times New Roman"/>
          <w:b w:val="1"/>
          <w:bCs w:val="1"/>
          <w:i w:val="1"/>
          <w:iCs w:val="1"/>
          <w:sz w:val="24"/>
          <w:szCs w:val="24"/>
          <w:rtl w:val="0"/>
        </w:rPr>
        <w:t xml:space="preserve">критичні*</w:t>
      </w:r>
      <w:r w:rsidDel="00000000" w:rsidR="00000000" w:rsidRPr="00000000">
        <w:rPr>
          <w:rFonts w:ascii="Times New Roman" w:cs="Times New Roman" w:eastAsia="Times New Roman" w:hAnsi="Times New Roman"/>
          <w:i w:val="1"/>
          <w:iCs w:val="1"/>
          <w:sz w:val="24"/>
          <w:szCs w:val="24"/>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5">
      <w:pPr>
        <w:keepLines w:val="1"/>
        <w:shd w:fill="ffffff" w:val="clear"/>
        <w:spacing w:after="0" w:line="276" w:lineRule="auto"/>
        <w:ind w:left="12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Наявність ліцензії на провадження господарської діяльності з медичної практики за спеціальністю нефрологія та/або дитяча нефрологія.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6">
      <w:pPr>
        <w:keepLines w:val="1"/>
        <w:shd w:fill="ffffff" w:val="clear"/>
        <w:spacing w:line="276"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*Критерії поділу умов закупівлі за рівнями вимог відповідно до пункту 5 Порядку укладення, зміни та припинення договору про медичне обслуговування населення за програмою медичних гарантій, затвердженого постановою Кабінету Міністрів України від 25 квітня 2018 р. № 410 “Про договори про медичне обслуговування населення за програмою медичних гарантій”.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7">
      <w:pPr>
        <w:keepLines w:val="1"/>
        <w:shd w:fill="ffffff" w:val="clear"/>
        <w:spacing w:after="0" w:line="276"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