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 Light" w:hAnsi="Calibri Light"/>
          <w:b/>
          <w:color w:val="1F4E79"/>
          <w:sz w:val="48"/>
        </w:rPr>
        <w:t>Опис цифрового реєстру роз'яснень НСЗУ</w:t>
      </w:r>
    </w:p>
    <w:p>
      <w:pPr>
        <w:spacing w:after="240"/>
        <w:jc w:val="center"/>
      </w:pPr>
      <w:r>
        <w:rPr>
          <w:color w:val="5A626B"/>
          <w:sz w:val="22"/>
        </w:rPr>
        <w:t>Мета, структура та функціональні можливості веб-навігатора для роботи з роз'ясненнями, пакетами ПМГ 2026 і постановою № 1808</w:t>
      </w:r>
    </w:p>
    <w:p>
      <w:pPr>
        <w:spacing w:after="320"/>
        <w:jc w:val="center"/>
      </w:pPr>
      <w:r>
        <w:rPr>
          <w:color w:val="5A626B"/>
          <w:sz w:val="18"/>
        </w:rPr>
        <w:t>Підготовлено локально: 28.05.2026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EAF3F8"/>
            <w:vAlign w:val="center"/>
          </w:tcPr>
          <w:p>
            <w:pPr>
              <w:spacing w:after="80"/>
            </w:pPr>
            <w:r/>
            <w:r>
              <w:rPr>
                <w:b/>
                <w:color w:val="1F4E79"/>
                <w:sz w:val="22"/>
              </w:rPr>
              <w:t>Коротко про продукт</w:t>
            </w:r>
          </w:p>
          <w:p>
            <w:pPr>
              <w:spacing w:after="0"/>
            </w:pPr>
            <w:r>
              <w:rPr>
                <w:color w:val="222B35"/>
                <w:sz w:val="21"/>
              </w:rPr>
              <w:t>Реєстр є робочим веб-інструментом для швидкого пошуку, зіставлення та копіювання інформації з роз'яснень НСЗУ, пакетів ПМГ 2026 і нормативної бази постанови № 1808. Його головна ідея — перетворити масив документів на зрозумілу навігаційну систему з точними посиланнями на пункти, збереженою нумерацією та готовими фрагментами для подальшої роботи.</w:t>
            </w:r>
          </w:p>
        </w:tc>
      </w:tr>
    </w:tbl>
    <w:p>
      <w:pPr>
        <w:pStyle w:val="Heading1"/>
      </w:pPr>
      <w:r>
        <w:t>1. Передумови створення</w:t>
      </w:r>
    </w:p>
    <w:p>
      <w:pPr>
        <w:pStyle w:val="BodyText"/>
      </w:pPr>
      <w:r>
        <w:t>У роботі з Програмою медичних гарантій одночасно використовуються різні типи матеріалів: офіційні роз'яснення, пакети умов закупівлі, текст постанови, порядок реалізації програми, тарифи, коефіцієнти, додатки та робочі файли. Без єдиного навігатора користувач змушений відкривати багато документів окремо, вручну шукати збіги й ризикує втратити важливу нумерацію пунктів.</w:t>
      </w:r>
    </w:p>
    <w:p>
      <w:pPr>
        <w:pStyle w:val="BodyText"/>
      </w:pPr>
      <w:r>
        <w:t>Створений веб-реєстр вирішує цю проблему як прикладний інструмент для аналітичної, договірної, комунікаційної та методичної роботи. Він не замінює офіційні джерела, а допомагає швидко дістатися до потрібного фрагмента, побачити контекст і підготувати робочу вибірку.</w:t>
      </w:r>
    </w:p>
    <w:p>
      <w:pPr>
        <w:pStyle w:val="Heading1"/>
      </w:pPr>
      <w:r>
        <w:t>2. Мета</w:t>
      </w:r>
    </w:p>
    <w:p>
      <w:pPr>
        <w:pStyle w:val="BodyText"/>
      </w:pPr>
      <w:r>
        <w:t>Мета проєкту — забезпечити швидкий, структурований і контрольований доступ до матеріалів, які використовуються під час аналізу та супроводу ПМГ 2026.</w:t>
      </w:r>
    </w:p>
    <w:p>
      <w:pPr>
        <w:pStyle w:val="ListBullet"/>
      </w:pPr>
      <w:r>
        <w:t>Скоротити час пошуку потрібного роз'яснення, пакета, вимоги або пункту постанови.</w:t>
      </w:r>
    </w:p>
    <w:p>
      <w:pPr>
        <w:pStyle w:val="ListBullet"/>
      </w:pPr>
      <w:r>
        <w:t>Зберегти юридично значущу структуру: номери пакетів, розділів, пунктів, підпунктів і додатків.</w:t>
      </w:r>
    </w:p>
    <w:p>
      <w:pPr>
        <w:pStyle w:val="ListBullet"/>
      </w:pPr>
      <w:r>
        <w:t>Надати користувачу інструмент для формування готових текстових зведень за пошуковим запитом.</w:t>
      </w:r>
    </w:p>
    <w:p>
      <w:pPr>
        <w:pStyle w:val="ListBullet"/>
      </w:pPr>
      <w:r>
        <w:t>Зв'язати роз'яснення, пакети та нормативні положення в одному робочому середовищі.</w:t>
      </w:r>
    </w:p>
    <w:p>
      <w:pPr>
        <w:pStyle w:val="ListBullet"/>
      </w:pPr>
      <w:r>
        <w:t>Підготувати основу для подальшого зворотного зв'язку, коментарів, новин та відстеження актуальності.</w:t>
      </w:r>
    </w:p>
    <w:p>
      <w:pPr>
        <w:pStyle w:val="Heading1"/>
      </w:pPr>
      <w:r>
        <w:t>3. Цільові користувачі</w:t>
      </w:r>
    </w:p>
    <w:p>
      <w:pPr>
        <w:pStyle w:val="BodyText"/>
      </w:pPr>
      <w:r>
        <w:t>Інструмент орієнтований на фахівців, які регулярно працюють з умовами закупівлі, роз'ясненнями, нормативними актами та відповідями на запити. Це можуть бути працівники профільних департаментів, аналітики, юристи, комунікаційні спеціалісти, відповідальні за контрактування, а також працівники, які готують консультації або порівняльні матеріали.</w:t>
      </w:r>
    </w:p>
    <w:p>
      <w:pPr>
        <w:pStyle w:val="Heading1"/>
      </w:pPr>
      <w:r>
        <w:t>4. Поточний обсяг даних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29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Обсяг</w:t>
            </w:r>
          </w:p>
        </w:tc>
        <w:tc>
          <w:tcPr>
            <w:tcW w:type="dxa" w:w="2736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Що охоплено</w:t>
            </w:r>
          </w:p>
        </w:tc>
        <w:tc>
          <w:tcPr>
            <w:tcW w:type="dxa" w:w="532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Практичне значення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171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документ роз'яснень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офіційні матеріали, листи, додатки та файли, зведені в єдиний пошук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46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пакетів ПМГ 2026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пакети з умовами закупівлі, тегами, розділами та повними пунктами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323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розділи пакетів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структуровані підрозділи на кшталт спеціалістів, обладнання, послуг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7881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пункт умов закупівлі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повнотекстова база для пошуку і формування вибірок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44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розділи постанови/порядку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нормативна частина з окремою індексацією та збереженням нумерації</w:t>
            </w:r>
          </w:p>
        </w:tc>
      </w:tr>
      <w:tr>
        <w:tc>
          <w:tcPr>
            <w:tcW w:type="dxa" w:w="1296"/>
            <w:vAlign w:val="center"/>
            <w:shd w:fill="EAF3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3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додатки до постанови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додаткова нормативна структура, пов'язана з пакетами</w:t>
            </w:r>
          </w:p>
        </w:tc>
      </w:tr>
    </w:tbl>
    <w:p>
      <w:pPr>
        <w:pStyle w:val="Heading1"/>
      </w:pPr>
      <w:r>
        <w:t>5. Основні функціональні модулі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20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Модуль</w:t>
            </w:r>
          </w:p>
        </w:tc>
        <w:tc>
          <w:tcPr>
            <w:tcW w:type="dxa" w:w="3888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Функціональність</w:t>
            </w:r>
          </w:p>
        </w:tc>
        <w:tc>
          <w:tcPr>
            <w:tcW w:type="dxa" w:w="2952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Цінність для користувача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Реєстр роз'яснень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Пошук і фільтрація документів за напрямом, роком, форматом, пакетом, темою та текстовими збігами.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Швидко знайти релевантне роз'яснення без ручного перегляду папок і файлів.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Пакетний навігатор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Перегляд пакетів ПМГ 2026 із лівою колонкою пакетів, структурою розділів і повним текстом умов.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Орієнтація в умовах закупівлі без втрати контексту між пакетом, підрозділом і пунктом.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Звіт пошуку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Окрема сторінка, яка формує акумульоване зведення знайдених пунктів із можливістю копіювання.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Готовий фрагмент для листів, аналітичних записок, порівнянь і робочих обговорень.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Постанова і Порядок № 1808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Окрема індексація постанови, порядку, розділів, додатків, тарифів, коефіцієнтів і строків.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Збереження критично важливої нумерації та швидкий перехід до потрібної норми.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Зв'язки між матеріалами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Пакети пов'язуються з роз'ясненнями та нормами постанови, де це можливо за структурою даних.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Менше ризику розглядати пакет, норму або роз'яснення ізольовано.</w:t>
            </w:r>
          </w:p>
        </w:tc>
      </w:tr>
      <w:tr>
        <w:tc>
          <w:tcPr>
            <w:tcW w:type="dxa" w:w="2520"/>
            <w:vAlign w:val="center"/>
            <w:shd w:fill="F3F6F8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222B35"/>
                <w:sz w:val="20"/>
              </w:rPr>
              <w:t>UX для робочого використання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Фіксовані колонки, кнопка «Верх», короткі назви пунктів, копіювання фрагментів, адаптивна верстка.</w:t>
            </w:r>
          </w:p>
        </w:tc>
        <w:tc>
          <w:tcPr>
            <w:tcW w:type="dxa" w:w="295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222B35"/>
                <w:sz w:val="20"/>
              </w:rPr>
              <w:t>Сайт зручний для довгої щоденної роботи, а не лише для демонстрації.</w:t>
            </w:r>
          </w:p>
        </w:tc>
      </w:tr>
    </w:tbl>
    <w:p>
      <w:pPr>
        <w:pStyle w:val="Heading1"/>
      </w:pPr>
      <w:r>
        <w:t>6. Детальний опис функціональних можливостей</w:t>
      </w:r>
    </w:p>
    <w:p>
      <w:pPr>
        <w:pStyle w:val="Heading2"/>
      </w:pPr>
      <w:r>
        <w:t>6.1. Реєстр роз'яснень</w:t>
      </w:r>
    </w:p>
    <w:p>
      <w:pPr>
        <w:pStyle w:val="BodyText"/>
      </w:pPr>
      <w:r>
        <w:t>Головна сторінка реєстру акумулює документи роз'яснень і дає змогу працювати з ними як з єдиною базою. Кожен документ має метадані: напрям, рік, формат, назву, тему, пакет або інший ідентифікатор, якщо його вдалося визначити.</w:t>
      </w:r>
    </w:p>
    <w:p>
      <w:pPr>
        <w:pStyle w:val="ListBullet"/>
      </w:pPr>
      <w:r>
        <w:t>Повнотекстовий пошук по назвах, уривках, темах і доступному розпізнаному тексту.</w:t>
      </w:r>
    </w:p>
    <w:p>
      <w:pPr>
        <w:pStyle w:val="ListBullet"/>
      </w:pPr>
      <w:r>
        <w:t>Фільтрація за напрямами, роками, форматами та іншими ознаками.</w:t>
      </w:r>
    </w:p>
    <w:p>
      <w:pPr>
        <w:pStyle w:val="ListBullet"/>
      </w:pPr>
      <w:r>
        <w:t>Відображення короткого опису або релевантного фрагмента документа.</w:t>
      </w:r>
    </w:p>
    <w:p>
      <w:pPr>
        <w:pStyle w:val="ListBullet"/>
      </w:pPr>
      <w:r>
        <w:t>Підтримка різних форматів джерел: PDF, DOCX, XLSX, ZIP.</w:t>
      </w:r>
    </w:p>
    <w:p>
      <w:pPr>
        <w:pStyle w:val="ListBullet"/>
      </w:pPr>
      <w:r>
        <w:t>Можливість швидко перейти від знайденого запису до оригінального джерела або локального файлу.</w:t>
      </w:r>
    </w:p>
    <w:p>
      <w:pPr>
        <w:pStyle w:val="Heading2"/>
      </w:pPr>
      <w:r>
        <w:t>6.2. Пакетний навігатор ПМГ 2026</w:t>
      </w:r>
    </w:p>
    <w:p>
      <w:pPr>
        <w:pStyle w:val="BodyText"/>
      </w:pPr>
      <w:r>
        <w:t>Сторінка пакетів побудована як робочий навігатор: користувач бачить перелік пакетів, структуру обраного пакета і повний текст відповідних пунктів. Ліва колонка зафіксована так, щоб під час прокручування не втрачати контекст обраного пакета.</w:t>
      </w:r>
    </w:p>
    <w:p>
      <w:pPr>
        <w:pStyle w:val="ListBullet"/>
      </w:pPr>
      <w:r>
        <w:t>Пошук за назвою пакета, спеціалістами, обладнанням, послугами та ключовими словами.</w:t>
      </w:r>
    </w:p>
    <w:p>
      <w:pPr>
        <w:pStyle w:val="ListBullet"/>
      </w:pPr>
      <w:r>
        <w:t>Тегування пакетів: амбулаторно, стаціонарно, дистанційно, за місцем перебування, критичні вимоги.</w:t>
      </w:r>
    </w:p>
    <w:p>
      <w:pPr>
        <w:pStyle w:val="ListBullet"/>
      </w:pPr>
      <w:r>
        <w:t>Перегляд повних пунктів умов закупівлі зі збереженням структури джерела.</w:t>
      </w:r>
    </w:p>
    <w:p>
      <w:pPr>
        <w:pStyle w:val="ListBullet"/>
      </w:pPr>
      <w:r>
        <w:t>Навігація по підрозділах пакета через окрему колонку змісту.</w:t>
      </w:r>
    </w:p>
    <w:p>
      <w:pPr>
        <w:pStyle w:val="ListBullet"/>
      </w:pPr>
      <w:r>
        <w:t>Посилання на пов'язані роз'яснення там, де така прив'язка доступна.</w:t>
      </w:r>
    </w:p>
    <w:p>
      <w:pPr>
        <w:pStyle w:val="Heading2"/>
      </w:pPr>
      <w:r>
        <w:t>6.3. Звіт пошуку по пакетах</w:t>
      </w:r>
    </w:p>
    <w:p>
      <w:pPr>
        <w:pStyle w:val="BodyText"/>
      </w:pPr>
      <w:r>
        <w:t>Окрема сторінка звіту створена для ситуацій, коли користувачу потрібна не просто навігація, а готова вибірка. Наприклад, запит «рентген установка» формує перелік пакетів і пунктів, де є відповідний збіг.</w:t>
      </w:r>
    </w:p>
    <w:p>
      <w:pPr>
        <w:pStyle w:val="ListBullet"/>
      </w:pPr>
      <w:r>
        <w:t>Автоматична статистика: кількість знайдених пакетів, розділів і пунктів.</w:t>
      </w:r>
    </w:p>
    <w:p>
      <w:pPr>
        <w:pStyle w:val="ListBullet"/>
      </w:pPr>
      <w:r>
        <w:t>Фільтр за назвами підрозділів: наприклад, можна залишити тільки «Спеціалісти» або тільки інший тип розділу.</w:t>
      </w:r>
    </w:p>
    <w:p>
      <w:pPr>
        <w:pStyle w:val="ListBullet"/>
      </w:pPr>
      <w:r>
        <w:t>Акумульоване текстове поле «Зведення для копіювання», яке містить повну робочу вибірку.</w:t>
      </w:r>
    </w:p>
    <w:p>
      <w:pPr>
        <w:pStyle w:val="ListBullet"/>
      </w:pPr>
      <w:r>
        <w:t>Кнопка копіювання зведення для швидкого перенесення інформації в лист, довідку, таблицю або службову записку.</w:t>
      </w:r>
    </w:p>
    <w:p>
      <w:pPr>
        <w:pStyle w:val="ListBullet"/>
      </w:pPr>
      <w:r>
        <w:t>Відсутність дублюючого скрольного списку: сторінка сфокусована саме на копійованому результаті.</w:t>
      </w:r>
    </w:p>
    <w:p>
      <w:pPr>
        <w:pStyle w:val="Heading2"/>
      </w:pPr>
      <w:r>
        <w:t>6.4. Постанова і Порядок № 1808</w:t>
      </w:r>
    </w:p>
    <w:p>
      <w:pPr>
        <w:pStyle w:val="BodyText"/>
      </w:pPr>
      <w:r>
        <w:t>Сторінка постанови має окрему логіку індексації, оскільки документ складається не лише з постанови, а й із затвердженого нею порядку та додатків. Для такого документа критично важливо не втратити нумерацію, оскільки саме вона є юридичним орієнтиром.</w:t>
      </w:r>
    </w:p>
    <w:p>
      <w:pPr>
        <w:pStyle w:val="ListBullet"/>
      </w:pPr>
      <w:r>
        <w:t>Окрема індексація постанови, порядку, розділів і додатків.</w:t>
      </w:r>
    </w:p>
    <w:p>
      <w:pPr>
        <w:pStyle w:val="ListBullet"/>
      </w:pPr>
      <w:r>
        <w:t>Пошук за тарифами, коефіцієнтами, формулами, строками, договорами, моніторингом та загальними правилами.</w:t>
      </w:r>
    </w:p>
    <w:p>
      <w:pPr>
        <w:pStyle w:val="ListBullet"/>
      </w:pPr>
      <w:r>
        <w:t>Середня колонка з короткими назвами пунктів для швидкого орієнтування.</w:t>
      </w:r>
    </w:p>
    <w:p>
      <w:pPr>
        <w:pStyle w:val="ListBullet"/>
      </w:pPr>
      <w:r>
        <w:t>Можливість копіювати виділені фрагменти для подальшого використання.</w:t>
      </w:r>
    </w:p>
    <w:p>
      <w:pPr>
        <w:pStyle w:val="ListBullet"/>
      </w:pPr>
      <w:r>
        <w:t>Зв'язування норм постанови з пакетами ПМГ 2026, коли це дозволяє структура даних.</w:t>
      </w:r>
    </w:p>
    <w:p>
      <w:pPr>
        <w:pStyle w:val="Heading1"/>
      </w:pPr>
      <w:r>
        <w:t>7. Ключові сценарії використання</w:t>
      </w:r>
    </w:p>
    <w:p>
      <w:pPr>
        <w:pStyle w:val="ListNumber"/>
      </w:pPr>
      <w:r>
        <w:t>Фахівець вводить ключове слово у пакетах, знаходить усі релевантні пункти та формує зведення для копіювання.</w:t>
      </w:r>
    </w:p>
    <w:p>
      <w:pPr>
        <w:pStyle w:val="ListNumber"/>
      </w:pPr>
      <w:r>
        <w:t>Аналітик перевіряє, у яких пакетах згадується конкретне обладнання, спеціаліст або медична послуга.</w:t>
      </w:r>
    </w:p>
    <w:p>
      <w:pPr>
        <w:pStyle w:val="ListNumber"/>
      </w:pPr>
      <w:r>
        <w:t>Юрист або методолог швидко знаходить пункт постанови, не втрачаючи нумерацію та зв'язок із порядком або додатком.</w:t>
      </w:r>
    </w:p>
    <w:p>
      <w:pPr>
        <w:pStyle w:val="ListNumber"/>
      </w:pPr>
      <w:r>
        <w:t>Спеціаліст з комунікацій знаходить релевантне роз'яснення і бачить, до якого напряму чи пакета воно належить.</w:t>
      </w:r>
    </w:p>
    <w:p>
      <w:pPr>
        <w:pStyle w:val="ListNumber"/>
      </w:pPr>
      <w:r>
        <w:t>Команда готує відповідь або службову записку, копіюючи готове зведення без ручного переписування пунктів.</w:t>
      </w:r>
    </w:p>
    <w:p>
      <w:pPr>
        <w:pStyle w:val="Heading1"/>
      </w:pPr>
      <w:r>
        <w:t>8. Принципи якості та надійності</w:t>
      </w:r>
    </w:p>
    <w:p>
      <w:pPr>
        <w:pStyle w:val="ListBullet"/>
      </w:pPr>
      <w:r>
        <w:t>Збереження первинної структури документів і нумерації там, де вона має правове або методичне значення.</w:t>
      </w:r>
    </w:p>
    <w:p>
      <w:pPr>
        <w:pStyle w:val="ListBullet"/>
      </w:pPr>
      <w:r>
        <w:t>Перевага повного тексту пунктів над короткими переказами в місцях, де точність важливіша за стислості.</w:t>
      </w:r>
    </w:p>
    <w:p>
      <w:pPr>
        <w:pStyle w:val="ListBullet"/>
      </w:pPr>
      <w:r>
        <w:t>Відокремлення навігаційного шару від джерел: сайт допомагає знайти і використати фрагмент, але не підміняє офіційний документ.</w:t>
      </w:r>
    </w:p>
    <w:p>
      <w:pPr>
        <w:pStyle w:val="ListBullet"/>
      </w:pPr>
      <w:r>
        <w:t>Придатність до подальшого оновлення: дані винесені у структуровані JSON-файли, а сторінки працюють як інтерфейс до цих даних.</w:t>
      </w:r>
    </w:p>
    <w:p>
      <w:pPr>
        <w:pStyle w:val="ListBullet"/>
      </w:pPr>
      <w:r>
        <w:t>Орієнтація на реальний робочий процес: копіювання, фільтри, фіксовані колонки, кнопка повернення нагору, мінімум зайвих декоративних елементів.</w:t>
      </w:r>
    </w:p>
    <w:p>
      <w:pPr>
        <w:pStyle w:val="Heading1"/>
      </w:pPr>
      <w:r>
        <w:t>9. Подальший розвиток</w:t>
      </w:r>
    </w:p>
    <w:p>
      <w:pPr>
        <w:pStyle w:val="BodyText"/>
      </w:pPr>
      <w:r>
        <w:t>Наступний логічний етап — перетворення реєстру з довідкового інструменту на робочий контур взаємодії з користувачами і підтримки актуальності матеріалів.</w:t>
      </w:r>
    </w:p>
    <w:p>
      <w:pPr>
        <w:pStyle w:val="ListBullet"/>
      </w:pPr>
      <w:r>
        <w:t>Форма зворотного зв'язку: повідомлення про неточності, пропозиції змін, питання до пакета або роз'яснення.</w:t>
      </w:r>
    </w:p>
    <w:p>
      <w:pPr>
        <w:pStyle w:val="ListBullet"/>
      </w:pPr>
      <w:r>
        <w:t>Коментарі до окремих пакетів, пунктів або роз'яснень із можливістю внутрішнього опрацювання.</w:t>
      </w:r>
    </w:p>
    <w:p>
      <w:pPr>
        <w:pStyle w:val="ListBullet"/>
      </w:pPr>
      <w:r>
        <w:t>Позначення актуальності роз'яснень: чинне, потребує перевірки, застаріле, замінене новим документом.</w:t>
      </w:r>
    </w:p>
    <w:p>
      <w:pPr>
        <w:pStyle w:val="ListBullet"/>
      </w:pPr>
      <w:r>
        <w:t>Новини та оновлення: коротка стрічка змін щодо пакетів, постанови, роз'яснень і технічних можливостей реєстру.</w:t>
      </w:r>
    </w:p>
    <w:p>
      <w:pPr>
        <w:pStyle w:val="ListBullet"/>
      </w:pPr>
      <w:r>
        <w:t>Журнал змін до пакетів: що саме змінилося, коли, у якому пункті та з яким наслідком для користувача.</w:t>
      </w:r>
    </w:p>
    <w:p>
      <w:pPr>
        <w:pStyle w:val="ListBullet"/>
      </w:pPr>
      <w:r>
        <w:t>Експорт звітів у DOCX/XLSX або формування окремих сторінок-звітів для типових запитів.</w:t>
      </w:r>
    </w:p>
    <w:p>
      <w:pPr>
        <w:pStyle w:val="Heading1"/>
      </w:pPr>
      <w:r>
        <w:t>10. Очікуваний результат для організації</w:t>
      </w:r>
    </w:p>
    <w:p>
      <w:pPr>
        <w:pStyle w:val="BodyText"/>
      </w:pPr>
      <w:r>
        <w:t>Реєстр має стати єдиною робочою точкою входу до матеріалів ПМГ 2026 і пов'язаних роз'яснень. Його користь полягає не лише в пошуку, а в зменшенні кількості помилок, прискоренні підготовки відповідей, кращій видимості зв'язків між документами та поступовому формуванні контрольованої бази знань.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792"/>
            <w:shd w:fill="FFF4D6"/>
            <w:vAlign w:val="center"/>
          </w:tcPr>
          <w:p>
            <w:pPr>
              <w:spacing w:after="80"/>
            </w:pPr>
            <w:r/>
            <w:r>
              <w:rPr>
                <w:b/>
                <w:color w:val="1F4E79"/>
                <w:sz w:val="22"/>
              </w:rPr>
              <w:t>Підсумок</w:t>
            </w:r>
          </w:p>
          <w:p>
            <w:pPr>
              <w:spacing w:after="0"/>
            </w:pPr>
            <w:r>
              <w:rPr>
                <w:color w:val="222B35"/>
                <w:sz w:val="21"/>
              </w:rPr>
              <w:t>Проєкт поєднує довідник, пошуковий інструмент і робочий конструктор зведень. Найважливіша його перевага — швидкий доступ до точного фрагмента з контекстом і нумерацією, яку не можна втрачати під час роботи з нормативними та пакетними матеріалами.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224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26B"/>
        <w:sz w:val="16"/>
      </w:rPr>
      <w:t>Реєстр роз'яснень НСЗУ / ПМГ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B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69" w:lineRule="auto"/>
    </w:pPr>
    <w:rPr>
      <w:rFonts w:ascii="Calibri" w:hAnsi="Calibri"/>
      <w:color w:val="222B3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9" w:lineRule="auto"/>
      <w:contextualSpacing/>
    </w:pPr>
    <w:rPr>
      <w:rFonts w:ascii="Calibri" w:hAnsi="Calibri"/>
      <w:color w:val="222B3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9" w:lineRule="auto"/>
      <w:contextualSpacing/>
    </w:pPr>
    <w:rPr>
      <w:rFonts w:ascii="Calibri" w:hAnsi="Calibri"/>
      <w:color w:val="222B3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