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2395" w:rsidRPr="00C25557" w:rsidRDefault="00882395" w:rsidP="00882395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 xml:space="preserve">МЕДИЧНА ДОПОМОГА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>ПРИ ГОСТРОМУ МОЗКОВОМУ ІНСУЛЬТІ</w:t>
      </w:r>
    </w:p>
    <w:p w:rsidR="00882395" w:rsidRPr="00C25557" w:rsidRDefault="00882395" w:rsidP="00882395">
      <w:pPr>
        <w:pStyle w:val="Default"/>
        <w:rPr>
          <w:lang w:val="ru-RU"/>
        </w:rPr>
      </w:pP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b/>
          <w:bCs/>
          <w:lang w:val="ru-RU"/>
        </w:rPr>
        <w:t xml:space="preserve">Обсяг медичних послуг, який надавач зобов’язується надавати за договором відповідно до медичних потреб пацієнта/пацієнтки (специфікація)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1. Первинний огляд пацієнта/пацієнтки лікарем-невропатологом та/або лікарем-нейрохірургом, який має відповідну підготовку з надання медичної допомоги при гострому мозковому інсульті. </w:t>
      </w:r>
    </w:p>
    <w:p w:rsidR="00882395" w:rsidRPr="008546D6" w:rsidRDefault="00882395" w:rsidP="00882395">
      <w:pPr>
        <w:pStyle w:val="Default"/>
        <w:jc w:val="both"/>
        <w:rPr>
          <w:lang w:val="ru-RU"/>
        </w:rPr>
      </w:pPr>
      <w:r w:rsidRPr="008546D6">
        <w:rPr>
          <w:lang w:val="ru-RU"/>
        </w:rPr>
        <w:t xml:space="preserve">2. Невідкладне проведення нейровізуалізації всім пацієнтам з підозрою на гострий мозковий інсульт відповідно до галузевих стандартів у сфері охорони здоров’я (не пізніше 60 хвилин з моменту звернення пацієнта/пацієнтки з підозрою на гострий мозковий інсульт в заклад або доставлення його/її бригадою екстреної (швидкої) медичної допомоги). Забезпечення анестезіологічного супроводу пацієнта/пацієнтки для проведення нейровізуалізації. </w:t>
      </w:r>
    </w:p>
    <w:p w:rsidR="00882395" w:rsidRPr="008546D6" w:rsidRDefault="00882395" w:rsidP="00882395">
      <w:pPr>
        <w:pStyle w:val="Default"/>
        <w:jc w:val="both"/>
        <w:rPr>
          <w:lang w:val="ru-RU"/>
        </w:rPr>
      </w:pPr>
      <w:r w:rsidRPr="008546D6">
        <w:rPr>
          <w:lang w:val="ru-RU"/>
        </w:rPr>
        <w:t xml:space="preserve">3. Моніторинг клінічних, лабораторних, інструментальних показників відповідно до галузевих стандартів у сфері охорони здоров’я.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4. Проведення лабораторних досліджень у цілодобовому режимі у закладі, зокрема: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розгорнутий клінічний аналіз крові з підрахунком числа тромбоцитів;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біохімічний аналіз крові (С-реактивний білок, загальний білок, аспартатамінотрансфераза (АсАТ), аланінамінотрансфераза (АлАТ), креатинін, сечовина, натрій, калій, тропонін);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глюкоза в цільній крові або сироватці крові;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коагуляційний гемостаз (протромбіновий час, активований частковий тромбопластиновий час (АЧТЧ), міжнародне нормалізоване відношення (МНВ), </w:t>
      </w:r>
      <w:r w:rsidRPr="00C25557">
        <w:t>D</w:t>
      </w:r>
      <w:r w:rsidRPr="00C25557">
        <w:rPr>
          <w:lang w:val="ru-RU"/>
        </w:rPr>
        <w:t xml:space="preserve">-дімер);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t>e</w:t>
      </w:r>
      <w:r w:rsidRPr="00C25557">
        <w:rPr>
          <w:lang w:val="ru-RU"/>
        </w:rPr>
        <w:t xml:space="preserve">. загальний аналіз сечі;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t>f</w:t>
      </w:r>
      <w:r w:rsidRPr="00C25557">
        <w:rPr>
          <w:lang w:val="ru-RU"/>
        </w:rPr>
        <w:t xml:space="preserve">. інші лабораторні дослідження відповідно до медичних потреб пацієнта/пацієнтки.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5. Проведення інструментальних досліджень, зокрема: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спіральна комп’ютерна томографія (СКТ) головного мозку включно з СКТ-ангіографією та/або МРТ головного мозку включно з неконтрастною МР-ангіографією у цілодобовому режимі;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електрокардіографія (ЕКГ) (у цілодобовому режимі);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ультразвукові дослідження з проведенням доплерографії;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інші інструментальні дослідження відповідно до медичних потреб пацієнта/пацієнтки.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6. Проведення системної тромболітичної терапії (при ішемічному інсульті), включаючи забезпечення необхідними лікарськими засобами.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7. Направлення пацієнта/пацієнтки в інший заклад, який може проводити ендоваскулярні нейроінтервенційні втручання, відповідно до клінічного маршруту пацієнта/пацієнтки.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8. Лабораторний та нейровізуалізаційний контроль після проведення системної тромболітичної терапії відповідно до галузевих стандартів у сфері охорони здоров’я.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9. Направлення пацієнта/пацієнтки в інший заклад, який може проводити нейрохірургічні втручання, відповідно до клінічного маршруту пацієнта/пацієнтки.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10. Своєчасне проведення седації, анестезії та знеболення на всіх етапах діагностики та лікування: обов’язкове анестезіологічне забезпечення під час виконання всіх інвазивних діагностичних та інших лікувальних процедур, цілодобовий доступ до внутрішньовенних анестетиків, ненаркотичних та наркотичних знеболювальних засобів, а також міорелаксантів.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11. Забезпечення лікарськими засобами та медичними виробами, постачання яких здійснюється шляхом централізованих закупівель МОЗ, за рахунок інших програм центрального та місцевого бюджетів, а також лікарськими засобами, визначеними Національним переліком основних лікарських засобів, необхідними медичними виробами та витратними матеріалами відповідно до галузевих стандартів у сфері охорони здоров’я та медико-технологічних документів.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lastRenderedPageBreak/>
        <w:t xml:space="preserve">12. Проведення та документування скринінгу щодо порушень ковтання (тест на дисфагію) у всіх пацієнтів при поступленні та перед початком годування чи прийому ліків через рот (не пізніше 24 годин після госпіталізації). Динамічне спостереження за функцією ковтання.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13. Проведення термінових консультацій лікарями інших спеціальностей, у тому числі телемедичних консультацій, відповідно до клінічної ситуації.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14. Проведення консультації логопеда або терапевта мови та мовлення у перші 48 годин після госпіталізації.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15. Проведення консультації лікаря-психолога або лікаря-психотерапевта, або психолога.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16. Проведення заходів із вторинної профілактики інсульту відповідно до галузевих стандартів у сфері охорони здоров’я, зокрема відмова від куріння, надмірного споживання алкоголю, контролю ваги тіла та артеріального тиску тощо.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17. Направлення пацієнта/пацієнтки до іншого закладу охорони здоров’я для отримання необхідної медичної допомоги відповідно до затвердженого внутрішнім наказом закладу клінічного маршруту пацієнта/пацієнтки.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18. Надання послуг з реабілітації у сфері охорони здоров’я в гострому періоді інсульту та направлення пацієнтів для отримання послуг з реабілітації у післягострому періоді інсульту.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19. Оцінка та документування тяжкості порушень життєдіяльності на момент виписки за модифікованою шкалою Ренкіна (МШР).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20. Розроблення та організація навчання для родини/доглядачів з наступних питань: методи особистої гігієни, стратегії спілкування, техніки переміщення, профілактики ускладнень та інших специфічних проблем, пов’язаних з гострим мозковим інсультом, контроль за безпечним ковтанням та відповідної зміни дієти, допомоги регулювання поведінки при психосоціальних проблемах.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21. Забезпечення харчування в умовах стаціонару.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22. Забезпечення пацієнтів з бульбарним синдромом та дисфагією лікарськими засобами для парентерального харчування та харчовими продуктами для спеціальних медичних цілей для ентерального харчування.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i/>
          <w:iCs/>
          <w:lang w:val="ru-RU"/>
        </w:rPr>
        <w:t xml:space="preserve">Додаткові вимоги до обсягу медичних послуг, який надавач зобов’язується надавати за договором відповідно до медичних потреб пацієнта/пацієнтки: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1. Проведення ендоваскулярних нейроінтервенційних втручань, відповідно до клінічного маршруту пацієнта/пацієнтки.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2. Лабораторний та нейровізуалізаційний контроль після застосування ендоваскулярних методів лікування відповідно до галузевих стандартів у сфері охорони здоров’я.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3. Забезпечення проведення нейрохірургічної допомоги (нейрохірургічних втручань), відповідно до клінічного маршруту пацієнта/пацієнтки.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4. Проведення інструментальних досліджень (у цілодобовому режимі):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селективна ангіографія; </w:t>
      </w:r>
    </w:p>
    <w:p w:rsidR="00882395" w:rsidRPr="00C25557" w:rsidRDefault="00882395" w:rsidP="00882395">
      <w:pPr>
        <w:pStyle w:val="Default"/>
        <w:jc w:val="both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трансторакальної ехокардіографії, дуплексного сканування судин шиї протягом; </w:t>
      </w:r>
    </w:p>
    <w:p w:rsidR="00882395" w:rsidRPr="00C25557" w:rsidRDefault="00882395" w:rsidP="00882395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КТ-перфузіографії та/або МРТ-перфузіографії. </w:t>
      </w:r>
    </w:p>
    <w:p w:rsidR="006731F7" w:rsidRPr="00882395" w:rsidRDefault="006731F7" w:rsidP="00882395">
      <w:bookmarkStart w:id="0" w:name="_GoBack"/>
      <w:bookmarkEnd w:id="0"/>
    </w:p>
    <w:sectPr w:rsidR="006731F7" w:rsidRPr="00882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4285C"/>
    <w:multiLevelType w:val="multilevel"/>
    <w:tmpl w:val="048C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11098"/>
    <w:multiLevelType w:val="multilevel"/>
    <w:tmpl w:val="A15CB188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35B222C"/>
    <w:multiLevelType w:val="multilevel"/>
    <w:tmpl w:val="566E2D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4033FBF"/>
    <w:multiLevelType w:val="multilevel"/>
    <w:tmpl w:val="744E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4D66852"/>
    <w:multiLevelType w:val="multilevel"/>
    <w:tmpl w:val="9FBC5A5A"/>
    <w:lvl w:ilvl="0">
      <w:start w:val="1"/>
      <w:numFmt w:val="decimal"/>
      <w:lvlText w:val="%1."/>
      <w:lvlJc w:val="left"/>
      <w:pPr>
        <w:ind w:left="720" w:hanging="360"/>
      </w:pPr>
      <w:rPr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E0357D9"/>
    <w:multiLevelType w:val="multilevel"/>
    <w:tmpl w:val="B212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1B5400"/>
    <w:multiLevelType w:val="multilevel"/>
    <w:tmpl w:val="B9C6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1C4814"/>
    <w:multiLevelType w:val="multilevel"/>
    <w:tmpl w:val="BDBE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14141E"/>
    <w:multiLevelType w:val="multilevel"/>
    <w:tmpl w:val="D7C436AA"/>
    <w:lvl w:ilvl="0">
      <w:start w:val="1"/>
      <w:numFmt w:val="decimal"/>
      <w:lvlText w:val="%1."/>
      <w:lvlJc w:val="left"/>
      <w:pPr>
        <w:ind w:left="720" w:hanging="360"/>
      </w:pPr>
      <w:rPr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A273616"/>
    <w:multiLevelType w:val="multilevel"/>
    <w:tmpl w:val="6E60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D630BA"/>
    <w:multiLevelType w:val="multilevel"/>
    <w:tmpl w:val="3C98EF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EB4266A"/>
    <w:multiLevelType w:val="multilevel"/>
    <w:tmpl w:val="B7BA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BE7FDC"/>
    <w:multiLevelType w:val="multilevel"/>
    <w:tmpl w:val="DD2C7E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3"/>
  </w:num>
  <w:num w:numId="3">
    <w:abstractNumId w:val="7"/>
  </w:num>
  <w:num w:numId="4">
    <w:abstractNumId w:val="2"/>
  </w:num>
  <w:num w:numId="5">
    <w:abstractNumId w:val="1"/>
  </w:num>
  <w:num w:numId="6">
    <w:abstractNumId w:val="5"/>
  </w:num>
  <w:num w:numId="7">
    <w:abstractNumId w:val="10"/>
  </w:num>
  <w:num w:numId="8">
    <w:abstractNumId w:val="8"/>
  </w:num>
  <w:num w:numId="9">
    <w:abstractNumId w:val="8"/>
    <w:lvlOverride w:ilvl="1">
      <w:lvl w:ilvl="1">
        <w:numFmt w:val="lowerLetter"/>
        <w:lvlText w:val="%2."/>
        <w:lvlJc w:val="left"/>
      </w:lvl>
    </w:lvlOverride>
  </w:num>
  <w:num w:numId="10">
    <w:abstractNumId w:val="8"/>
    <w:lvlOverride w:ilvl="1">
      <w:lvl w:ilvl="1">
        <w:numFmt w:val="lowerLetter"/>
        <w:lvlText w:val="%2."/>
        <w:lvlJc w:val="left"/>
      </w:lvl>
    </w:lvlOverride>
  </w:num>
  <w:num w:numId="11">
    <w:abstractNumId w:val="11"/>
  </w:num>
  <w:num w:numId="12">
    <w:abstractNumId w:val="14"/>
  </w:num>
  <w:num w:numId="13">
    <w:abstractNumId w:val="6"/>
    <w:lvlOverride w:ilvl="0">
      <w:lvl w:ilvl="0">
        <w:numFmt w:val="lowerLetter"/>
        <w:lvlText w:val="%1."/>
        <w:lvlJc w:val="left"/>
      </w:lvl>
    </w:lvlOverride>
  </w:num>
  <w:num w:numId="14">
    <w:abstractNumId w:val="12"/>
    <w:lvlOverride w:ilvl="0">
      <w:lvl w:ilvl="0">
        <w:numFmt w:val="decimal"/>
        <w:lvlText w:val="%1."/>
        <w:lvlJc w:val="left"/>
      </w:lvl>
    </w:lvlOverride>
  </w:num>
  <w:num w:numId="15">
    <w:abstractNumId w:val="9"/>
    <w:lvlOverride w:ilvl="0">
      <w:lvl w:ilvl="0">
        <w:numFmt w:val="lowerLetter"/>
        <w:lvlText w:val="%1."/>
        <w:lvlJc w:val="left"/>
      </w:lvl>
    </w:lvlOverride>
  </w:num>
  <w:num w:numId="16">
    <w:abstractNumId w:val="15"/>
    <w:lvlOverride w:ilvl="0">
      <w:lvl w:ilvl="0">
        <w:numFmt w:val="decimal"/>
        <w:lvlText w:val="%1."/>
        <w:lvlJc w:val="left"/>
      </w:lvl>
    </w:lvlOverride>
  </w:num>
  <w:num w:numId="17">
    <w:abstractNumId w:val="15"/>
    <w:lvlOverride w:ilvl="0">
      <w:lvl w:ilvl="0">
        <w:numFmt w:val="decimal"/>
        <w:lvlText w:val="%1."/>
        <w:lvlJc w:val="left"/>
      </w:lvl>
    </w:lvlOverride>
  </w:num>
  <w:num w:numId="18">
    <w:abstractNumId w:val="15"/>
    <w:lvlOverride w:ilvl="0">
      <w:lvl w:ilvl="0">
        <w:numFmt w:val="decimal"/>
        <w:lvlText w:val="%1."/>
        <w:lvlJc w:val="left"/>
      </w:lvl>
    </w:lvlOverride>
  </w:num>
  <w:num w:numId="19">
    <w:abstractNumId w:val="15"/>
    <w:lvlOverride w:ilvl="0">
      <w:lvl w:ilvl="0">
        <w:numFmt w:val="decimal"/>
        <w:lvlText w:val="%1."/>
        <w:lvlJc w:val="left"/>
      </w:lvl>
    </w:lvlOverride>
  </w:num>
  <w:num w:numId="20">
    <w:abstractNumId w:val="15"/>
    <w:lvlOverride w:ilvl="0">
      <w:lvl w:ilvl="0">
        <w:numFmt w:val="decimal"/>
        <w:lvlText w:val="%1."/>
        <w:lvlJc w:val="left"/>
      </w:lvl>
    </w:lvlOverride>
  </w:num>
  <w:num w:numId="21">
    <w:abstractNumId w:val="15"/>
    <w:lvlOverride w:ilvl="0">
      <w:lvl w:ilvl="0">
        <w:numFmt w:val="decimal"/>
        <w:lvlText w:val="%1."/>
        <w:lvlJc w:val="left"/>
      </w:lvl>
    </w:lvlOverride>
  </w:num>
  <w:num w:numId="22">
    <w:abstractNumId w:val="15"/>
    <w:lvlOverride w:ilvl="0">
      <w:lvl w:ilvl="0">
        <w:numFmt w:val="decimal"/>
        <w:lvlText w:val="%1."/>
        <w:lvlJc w:val="left"/>
      </w:lvl>
    </w:lvlOverride>
  </w:num>
  <w:num w:numId="23">
    <w:abstractNumId w:val="15"/>
    <w:lvlOverride w:ilvl="0">
      <w:lvl w:ilvl="0">
        <w:numFmt w:val="decimal"/>
        <w:lvlText w:val="%1."/>
        <w:lvlJc w:val="left"/>
      </w:lvl>
    </w:lvlOverride>
  </w:num>
  <w:num w:numId="24">
    <w:abstractNumId w:val="15"/>
    <w:lvlOverride w:ilvl="0">
      <w:lvl w:ilvl="0">
        <w:numFmt w:val="decimal"/>
        <w:lvlText w:val="%1."/>
        <w:lvlJc w:val="left"/>
      </w:lvl>
    </w:lvlOverride>
  </w:num>
  <w:num w:numId="25">
    <w:abstractNumId w:val="15"/>
    <w:lvlOverride w:ilvl="0">
      <w:lvl w:ilvl="0">
        <w:numFmt w:val="decimal"/>
        <w:lvlText w:val="%1."/>
        <w:lvlJc w:val="left"/>
      </w:lvl>
    </w:lvlOverride>
  </w:num>
  <w:num w:numId="26">
    <w:abstractNumId w:val="15"/>
    <w:lvlOverride w:ilvl="0">
      <w:lvl w:ilvl="0">
        <w:numFmt w:val="decimal"/>
        <w:lvlText w:val="%1."/>
        <w:lvlJc w:val="left"/>
      </w:lvl>
    </w:lvlOverride>
  </w:num>
  <w:num w:numId="27">
    <w:abstractNumId w:val="15"/>
    <w:lvlOverride w:ilvl="0">
      <w:lvl w:ilvl="0">
        <w:numFmt w:val="decimal"/>
        <w:lvlText w:val="%1."/>
        <w:lvlJc w:val="left"/>
      </w:lvl>
    </w:lvlOverride>
  </w:num>
  <w:num w:numId="28">
    <w:abstractNumId w:val="15"/>
    <w:lvlOverride w:ilvl="0">
      <w:lvl w:ilvl="0">
        <w:numFmt w:val="decimal"/>
        <w:lvlText w:val="%1."/>
        <w:lvlJc w:val="left"/>
      </w:lvl>
    </w:lvlOverride>
  </w:num>
  <w:num w:numId="29">
    <w:abstractNumId w:val="15"/>
    <w:lvlOverride w:ilvl="0">
      <w:lvl w:ilvl="0">
        <w:numFmt w:val="decimal"/>
        <w:lvlText w:val="%1."/>
        <w:lvlJc w:val="left"/>
      </w:lvl>
    </w:lvlOverride>
  </w:num>
  <w:num w:numId="30">
    <w:abstractNumId w:val="15"/>
    <w:lvlOverride w:ilvl="0">
      <w:lvl w:ilvl="0">
        <w:numFmt w:val="decimal"/>
        <w:lvlText w:val="%1."/>
        <w:lvlJc w:val="left"/>
      </w:lvl>
    </w:lvlOverride>
  </w:num>
  <w:num w:numId="31">
    <w:abstractNumId w:val="15"/>
    <w:lvlOverride w:ilvl="0">
      <w:lvl w:ilvl="0">
        <w:numFmt w:val="decimal"/>
        <w:lvlText w:val="%1."/>
        <w:lvlJc w:val="left"/>
      </w:lvl>
    </w:lvlOverride>
  </w:num>
  <w:num w:numId="32">
    <w:abstractNumId w:val="15"/>
    <w:lvlOverride w:ilvl="0">
      <w:lvl w:ilvl="0">
        <w:numFmt w:val="decimal"/>
        <w:lvlText w:val="%1."/>
        <w:lvlJc w:val="left"/>
      </w:lvl>
    </w:lvlOverride>
  </w:num>
  <w:num w:numId="33">
    <w:abstractNumId w:val="3"/>
  </w:num>
  <w:num w:numId="34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12752C"/>
    <w:rsid w:val="00191B6B"/>
    <w:rsid w:val="006731F7"/>
    <w:rsid w:val="006C43E2"/>
    <w:rsid w:val="006F430E"/>
    <w:rsid w:val="008316AF"/>
    <w:rsid w:val="00882395"/>
    <w:rsid w:val="008D2A75"/>
    <w:rsid w:val="00993769"/>
    <w:rsid w:val="00C4791C"/>
    <w:rsid w:val="00C47F4E"/>
    <w:rsid w:val="00D54A2E"/>
    <w:rsid w:val="00D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customStyle="1" w:styleId="Default">
    <w:name w:val="Default"/>
    <w:rsid w:val="008823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2021-07-30T14:24:00Z</dcterms:created>
  <dcterms:modified xsi:type="dcterms:W3CDTF">2022-02-07T09:04:00Z</dcterms:modified>
</cp:coreProperties>
</file>