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0CC3" w:rsidRPr="00C25557" w:rsidRDefault="00E20CC3" w:rsidP="00E20CC3">
      <w:pPr>
        <w:pStyle w:val="2"/>
        <w:spacing w:before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25557">
        <w:rPr>
          <w:rFonts w:ascii="Times New Roman" w:eastAsia="Times New Roman" w:hAnsi="Times New Roman" w:cs="Times New Roman"/>
          <w:b/>
          <w:sz w:val="24"/>
          <w:szCs w:val="24"/>
        </w:rPr>
        <w:t>СТАЦІОНАРНА ДОПОМОГА ДОРОСЛИМ ТА ДІТЯМ БЕЗ ПРОВЕДЕННЯ ХІРУРГІЧНИХ ОПЕРАЦІЙ</w:t>
      </w:r>
    </w:p>
    <w:p w:rsidR="00E20CC3" w:rsidRPr="00C25557" w:rsidRDefault="00E20CC3" w:rsidP="00E20CC3">
      <w:pPr>
        <w:spacing w:line="240" w:lineRule="auto"/>
        <w:ind w:left="1400" w:hanging="70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E20CC3" w:rsidRPr="00C25557" w:rsidRDefault="00E20CC3" w:rsidP="00E20CC3">
      <w:pPr>
        <w:pStyle w:val="a3"/>
        <w:shd w:val="clear" w:color="auto" w:fill="FFFFFF"/>
        <w:spacing w:before="0" w:beforeAutospacing="0" w:after="0" w:afterAutospacing="0"/>
        <w:ind w:left="360" w:hanging="360"/>
        <w:jc w:val="both"/>
        <w:rPr>
          <w:b/>
          <w:bCs/>
          <w:shd w:val="clear" w:color="auto" w:fill="FFFFFF"/>
        </w:rPr>
      </w:pPr>
      <w:r w:rsidRPr="00C25557">
        <w:rPr>
          <w:b/>
          <w:bCs/>
          <w:shd w:val="clear" w:color="auto" w:fill="FFFFFF"/>
        </w:rPr>
        <w:t>Обсяг медичних послуг, який надавач зобов’язується надавати за договором відповідно до медичних потреб пацієнта/пацієнтки (специфікація)</w:t>
      </w:r>
    </w:p>
    <w:p w:rsidR="00E20CC3" w:rsidRPr="00C25557" w:rsidRDefault="00E20CC3" w:rsidP="00E20CC3">
      <w:pPr>
        <w:pStyle w:val="a3"/>
        <w:shd w:val="clear" w:color="auto" w:fill="FFFFFF"/>
        <w:spacing w:before="0" w:beforeAutospacing="0" w:after="0" w:afterAutospacing="0"/>
        <w:ind w:left="360" w:hanging="360"/>
        <w:jc w:val="both"/>
      </w:pPr>
    </w:p>
    <w:p w:rsidR="00E20CC3" w:rsidRPr="00C25557" w:rsidRDefault="00E20CC3" w:rsidP="00E20CC3">
      <w:pPr>
        <w:pStyle w:val="a3"/>
        <w:numPr>
          <w:ilvl w:val="0"/>
          <w:numId w:val="16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Забезпечення первинного огляду пацієнта/пацієнтки з визначенням його/її маршрутизації.</w:t>
      </w:r>
    </w:p>
    <w:p w:rsidR="00E20CC3" w:rsidRPr="00C25557" w:rsidRDefault="00E20CC3" w:rsidP="00E20CC3">
      <w:pPr>
        <w:pStyle w:val="a3"/>
        <w:numPr>
          <w:ilvl w:val="0"/>
          <w:numId w:val="16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Проведення необхідних лабораторних досліджень відповідно до галузевих стандартів у сфері охорони здоров’я, зокрема:</w:t>
      </w:r>
    </w:p>
    <w:p w:rsidR="00E20CC3" w:rsidRPr="00C25557" w:rsidRDefault="00E20CC3" w:rsidP="00E20CC3">
      <w:pPr>
        <w:pStyle w:val="a3"/>
        <w:numPr>
          <w:ilvl w:val="0"/>
          <w:numId w:val="17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розгорнутий клінічний аналіз крові;</w:t>
      </w:r>
    </w:p>
    <w:p w:rsidR="00E20CC3" w:rsidRPr="00C25557" w:rsidRDefault="00E20CC3" w:rsidP="00E20CC3">
      <w:pPr>
        <w:pStyle w:val="a3"/>
        <w:numPr>
          <w:ilvl w:val="0"/>
          <w:numId w:val="17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визначення групи крові і резус фактору;</w:t>
      </w:r>
    </w:p>
    <w:p w:rsidR="00E20CC3" w:rsidRPr="00C25557" w:rsidRDefault="00E20CC3" w:rsidP="00E20CC3">
      <w:pPr>
        <w:pStyle w:val="a3"/>
        <w:numPr>
          <w:ilvl w:val="0"/>
          <w:numId w:val="17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біохімічний аналіз крові (загальний білок, альбумін, глобулін, альфа-амілаза, аспартатамінотрансфераза (АсАТ), аланінамінотрансфераза (АлАТ), білірубін і його фракції (загальний, прямий, непрямий), креатинін, сечовина, сечова кислота, електроліти: калій, хлор, натрій, магній, кальцій; феритин; сироватковий прокальцитонін, тропонін I або Т, високочутливий (hs-cTnI); гамма-глутамінтранспептидаза (ГГТП), лужна фосфатаза, показник антинуклеарних антитіл (ANA));</w:t>
      </w:r>
    </w:p>
    <w:p w:rsidR="00E20CC3" w:rsidRPr="00C25557" w:rsidRDefault="00E20CC3" w:rsidP="00E20CC3">
      <w:pPr>
        <w:pStyle w:val="a3"/>
        <w:numPr>
          <w:ilvl w:val="0"/>
          <w:numId w:val="17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ліпідний профіль: тригліцериди, загальний холестерин, ліпопротеїди низької щільності (ЛПНЩ), ліпопротеїди високої щільністю (ЛПВЩ) в сироватці крові;</w:t>
      </w:r>
    </w:p>
    <w:p w:rsidR="00E20CC3" w:rsidRPr="00C25557" w:rsidRDefault="00E20CC3" w:rsidP="00E20CC3">
      <w:pPr>
        <w:pStyle w:val="a3"/>
        <w:numPr>
          <w:ilvl w:val="0"/>
          <w:numId w:val="17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ревматологічні та гострофазові показники (ревматоїдний фактор (кількісне визначення), сіалові кислоти, С-реактивний білок (кількісне визначення), антистрептолізин-О (кількісне визначення));</w:t>
      </w:r>
    </w:p>
    <w:p w:rsidR="00E20CC3" w:rsidRPr="00C25557" w:rsidRDefault="00E20CC3" w:rsidP="00E20CC3">
      <w:pPr>
        <w:pStyle w:val="a3"/>
        <w:numPr>
          <w:ilvl w:val="0"/>
          <w:numId w:val="17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коагуляційний гемостаз (тромбіновий час, активований частковий (парціальний) тромбопластиновий час (АЧТЧ, АПТЧ), фібриноген, міжнародне нормалізоване відношення (МНВ));</w:t>
      </w:r>
    </w:p>
    <w:p w:rsidR="00E20CC3" w:rsidRPr="00C25557" w:rsidRDefault="00E20CC3" w:rsidP="00E20CC3">
      <w:pPr>
        <w:pStyle w:val="a3"/>
        <w:numPr>
          <w:ilvl w:val="0"/>
          <w:numId w:val="17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визначення глюкози в цільній крові або сироватці крові та/або проведення глюкозотолерантного тесту;</w:t>
      </w:r>
    </w:p>
    <w:p w:rsidR="00E20CC3" w:rsidRPr="00C25557" w:rsidRDefault="00E20CC3" w:rsidP="00E20CC3">
      <w:pPr>
        <w:pStyle w:val="a3"/>
        <w:numPr>
          <w:ilvl w:val="0"/>
          <w:numId w:val="17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глікозильований гемоглобін в цільній крові;</w:t>
      </w:r>
    </w:p>
    <w:p w:rsidR="00E20CC3" w:rsidRPr="00C25557" w:rsidRDefault="00E20CC3" w:rsidP="00E20CC3">
      <w:pPr>
        <w:pStyle w:val="a3"/>
        <w:numPr>
          <w:ilvl w:val="0"/>
          <w:numId w:val="17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дослідження спинномозкової рідини;</w:t>
      </w:r>
    </w:p>
    <w:p w:rsidR="00E20CC3" w:rsidRPr="00C25557" w:rsidRDefault="00E20CC3" w:rsidP="00E20CC3">
      <w:pPr>
        <w:pStyle w:val="a3"/>
        <w:numPr>
          <w:ilvl w:val="0"/>
          <w:numId w:val="17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аналіз сечі загальний;</w:t>
      </w:r>
    </w:p>
    <w:p w:rsidR="00E20CC3" w:rsidRPr="00C25557" w:rsidRDefault="00E20CC3" w:rsidP="00E20CC3">
      <w:pPr>
        <w:pStyle w:val="a3"/>
        <w:numPr>
          <w:ilvl w:val="0"/>
          <w:numId w:val="17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мікроальбумін у сечі;</w:t>
      </w:r>
    </w:p>
    <w:p w:rsidR="00E20CC3" w:rsidRPr="00C25557" w:rsidRDefault="00E20CC3" w:rsidP="00E20CC3">
      <w:pPr>
        <w:pStyle w:val="a3"/>
        <w:numPr>
          <w:ilvl w:val="0"/>
          <w:numId w:val="17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ацетон в сечі;</w:t>
      </w:r>
    </w:p>
    <w:p w:rsidR="00E20CC3" w:rsidRPr="00C25557" w:rsidRDefault="00E20CC3" w:rsidP="00E20CC3">
      <w:pPr>
        <w:pStyle w:val="a3"/>
        <w:numPr>
          <w:ilvl w:val="0"/>
          <w:numId w:val="17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копрограма;</w:t>
      </w:r>
    </w:p>
    <w:p w:rsidR="00E20CC3" w:rsidRPr="00C25557" w:rsidRDefault="00E20CC3" w:rsidP="00E20CC3">
      <w:pPr>
        <w:pStyle w:val="a3"/>
        <w:numPr>
          <w:ilvl w:val="0"/>
          <w:numId w:val="17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тестування на сифіліс, гепатити, ВІЛ, SARS-CoV-2;</w:t>
      </w:r>
    </w:p>
    <w:p w:rsidR="00E20CC3" w:rsidRPr="00C25557" w:rsidRDefault="00E20CC3" w:rsidP="00E20CC3">
      <w:pPr>
        <w:pStyle w:val="a3"/>
        <w:numPr>
          <w:ilvl w:val="0"/>
          <w:numId w:val="17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бактеріологічні дослідження з урахуванням визначення патогенної флори, а також умовно патогенних та облігатних бактерій, мікропреципітації на сифіліс, визначення найпростіших та гельмінтів калу, серотипування та чутливість до антибактеріальної терапії;</w:t>
      </w:r>
    </w:p>
    <w:p w:rsidR="00E20CC3" w:rsidRPr="00C25557" w:rsidRDefault="00E20CC3" w:rsidP="00E20CC3">
      <w:pPr>
        <w:pStyle w:val="a3"/>
        <w:numPr>
          <w:ilvl w:val="0"/>
          <w:numId w:val="17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інші лабораторні дослідження відповідно до потреб пацієнтів.</w:t>
      </w:r>
    </w:p>
    <w:p w:rsidR="00E20CC3" w:rsidRPr="00C25557" w:rsidRDefault="00E20CC3" w:rsidP="00E20CC3">
      <w:pPr>
        <w:pStyle w:val="a3"/>
        <w:numPr>
          <w:ilvl w:val="0"/>
          <w:numId w:val="18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Проведення необхідних інструментальних обстежень відповідно до галузевих стандартів у сфері охорони здоров’я, зокрема:</w:t>
      </w:r>
    </w:p>
    <w:p w:rsidR="00E20CC3" w:rsidRPr="00C25557" w:rsidRDefault="00E20CC3" w:rsidP="00E20CC3">
      <w:pPr>
        <w:pStyle w:val="a3"/>
        <w:numPr>
          <w:ilvl w:val="0"/>
          <w:numId w:val="19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електрокардіографія (ЕКГ);</w:t>
      </w:r>
    </w:p>
    <w:p w:rsidR="00E20CC3" w:rsidRPr="00C25557" w:rsidRDefault="00E20CC3" w:rsidP="00E20CC3">
      <w:pPr>
        <w:pStyle w:val="a3"/>
        <w:numPr>
          <w:ilvl w:val="0"/>
          <w:numId w:val="19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ультразвукові дослідження, в тому числі із проведенням доплерографії;</w:t>
      </w:r>
    </w:p>
    <w:p w:rsidR="00E20CC3" w:rsidRPr="00C25557" w:rsidRDefault="00E20CC3" w:rsidP="00E20CC3">
      <w:pPr>
        <w:pStyle w:val="a3"/>
        <w:numPr>
          <w:ilvl w:val="0"/>
          <w:numId w:val="19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ендоскопічні дослідження;</w:t>
      </w:r>
    </w:p>
    <w:p w:rsidR="00E20CC3" w:rsidRPr="00C25557" w:rsidRDefault="00E20CC3" w:rsidP="00E20CC3">
      <w:pPr>
        <w:pStyle w:val="a3"/>
        <w:numPr>
          <w:ilvl w:val="0"/>
          <w:numId w:val="19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рентгенологічні дослідження, в тому числі комп’ютерна томографія (в тому числі з внутрішньовенним контрастуванням);</w:t>
      </w:r>
    </w:p>
    <w:p w:rsidR="00E20CC3" w:rsidRPr="00C25557" w:rsidRDefault="00E20CC3" w:rsidP="00E20CC3">
      <w:pPr>
        <w:pStyle w:val="a3"/>
        <w:numPr>
          <w:ilvl w:val="0"/>
          <w:numId w:val="19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магнітно-резонансна томографія (в тому числі з внутрішньовенним контрастуванням);</w:t>
      </w:r>
    </w:p>
    <w:p w:rsidR="00E20CC3" w:rsidRPr="00C25557" w:rsidRDefault="00E20CC3" w:rsidP="00E20CC3">
      <w:pPr>
        <w:pStyle w:val="a3"/>
        <w:numPr>
          <w:ilvl w:val="0"/>
          <w:numId w:val="19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інші інструментальні дослідження відповідно до потреб пацієнтів.</w:t>
      </w:r>
    </w:p>
    <w:p w:rsidR="00E20CC3" w:rsidRPr="00C25557" w:rsidRDefault="00E20CC3" w:rsidP="00E20CC3">
      <w:pPr>
        <w:pStyle w:val="a3"/>
        <w:numPr>
          <w:ilvl w:val="0"/>
          <w:numId w:val="20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 xml:space="preserve">Своєчасне знеболення на всіх етапах діагностики та лікування: обов’язкове анестезіологічне забезпечення під час виконання всіх інвазивних діагностичних та інших </w:t>
      </w:r>
      <w:r w:rsidRPr="00C25557">
        <w:rPr>
          <w:shd w:val="clear" w:color="auto" w:fill="FFFFFF"/>
        </w:rPr>
        <w:lastRenderedPageBreak/>
        <w:t>лікувальних процедур, цілодобовий доступ до ненаркотичних та наркотичних знеболювальних засобів.</w:t>
      </w:r>
    </w:p>
    <w:p w:rsidR="00E20CC3" w:rsidRPr="00C25557" w:rsidRDefault="00E20CC3" w:rsidP="00E20CC3">
      <w:pPr>
        <w:pStyle w:val="a3"/>
        <w:numPr>
          <w:ilvl w:val="0"/>
          <w:numId w:val="20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Забезпечення лікарськими засобами, постачання яких здійснюється шляхом централізованих закупівель МОЗ, за рахунок інших програм центрального та місцевого бюджетів, а також лікарськими засобами, визначеними Національним переліком основних лікарських засобів, необхідними медичними виробами та витратними матеріалами відповідно до галузевих стандартів у сфері охорони здоров’я та медико-технологічних документів.</w:t>
      </w:r>
    </w:p>
    <w:p w:rsidR="00E20CC3" w:rsidRPr="00C25557" w:rsidRDefault="00E20CC3" w:rsidP="00E20CC3">
      <w:pPr>
        <w:pStyle w:val="a3"/>
        <w:numPr>
          <w:ilvl w:val="0"/>
          <w:numId w:val="20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Надання медичної допомоги, направленої на полегшення, зняття чи усунення симптомів і проявів захворювання чи іншого порушення життєдіяльності, нормалізація порушених процесів життєдіяльності і одужання, відновлення здоров’я пацієнтів без застосування хірургічних операцій.</w:t>
      </w:r>
    </w:p>
    <w:p w:rsidR="00E20CC3" w:rsidRPr="00C25557" w:rsidRDefault="00E20CC3" w:rsidP="00E20CC3">
      <w:pPr>
        <w:pStyle w:val="a3"/>
        <w:numPr>
          <w:ilvl w:val="0"/>
          <w:numId w:val="20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Проведення інтенсивної терапії пацієнтам у випадку виникнення у них загрозливих для життя станів.</w:t>
      </w:r>
    </w:p>
    <w:p w:rsidR="00E20CC3" w:rsidRPr="00C25557" w:rsidRDefault="00E20CC3" w:rsidP="00E20CC3">
      <w:pPr>
        <w:pStyle w:val="a3"/>
        <w:numPr>
          <w:ilvl w:val="0"/>
          <w:numId w:val="20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Надання медичної допомоги вагітним з ускладненим перебігом вагітності та/або екстрагенітальною патологією.</w:t>
      </w:r>
    </w:p>
    <w:p w:rsidR="00E20CC3" w:rsidRPr="00C25557" w:rsidRDefault="00E20CC3" w:rsidP="00E20CC3">
      <w:pPr>
        <w:pStyle w:val="a3"/>
        <w:numPr>
          <w:ilvl w:val="0"/>
          <w:numId w:val="20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Забезпечення цілодобового лікарського та медсестринського догляду.</w:t>
      </w:r>
    </w:p>
    <w:p w:rsidR="00E20CC3" w:rsidRPr="00C25557" w:rsidRDefault="00E20CC3" w:rsidP="00E20CC3">
      <w:pPr>
        <w:pStyle w:val="a3"/>
        <w:numPr>
          <w:ilvl w:val="0"/>
          <w:numId w:val="20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Проведення заходів із профілактики захворювань.</w:t>
      </w:r>
    </w:p>
    <w:p w:rsidR="00E20CC3" w:rsidRPr="00C25557" w:rsidRDefault="00E20CC3" w:rsidP="00E20CC3">
      <w:pPr>
        <w:pStyle w:val="a3"/>
        <w:numPr>
          <w:ilvl w:val="0"/>
          <w:numId w:val="20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Направлення пацієнтів при наявності показань в інші заклади/підрозділи для надання їм спеціалізованої, паліативної медичної допомоги, реабілітаційних послуг у післягострому та довготривалому періодах реабілітації.</w:t>
      </w:r>
    </w:p>
    <w:p w:rsidR="00E20CC3" w:rsidRPr="00C25557" w:rsidRDefault="00E20CC3" w:rsidP="00E20CC3">
      <w:pPr>
        <w:pStyle w:val="a3"/>
        <w:numPr>
          <w:ilvl w:val="0"/>
          <w:numId w:val="20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Забезпечення харчування в умовах стаціонару.</w:t>
      </w:r>
    </w:p>
    <w:p w:rsidR="00E20CC3" w:rsidRPr="00C25557" w:rsidRDefault="00E20CC3" w:rsidP="00E20CC3">
      <w:pPr>
        <w:pStyle w:val="a3"/>
        <w:shd w:val="clear" w:color="auto" w:fill="FFFFFF"/>
        <w:spacing w:before="0" w:beforeAutospacing="0" w:after="0" w:afterAutospacing="0"/>
        <w:ind w:left="360" w:hanging="360"/>
        <w:jc w:val="both"/>
      </w:pPr>
      <w:r w:rsidRPr="00C25557">
        <w:rPr>
          <w:shd w:val="clear" w:color="auto" w:fill="FFFFFF"/>
        </w:rPr>
        <w:t> </w:t>
      </w:r>
    </w:p>
    <w:p w:rsidR="00E20CC3" w:rsidRPr="00C25557" w:rsidRDefault="00E20CC3" w:rsidP="00E20CC3">
      <w:pPr>
        <w:pStyle w:val="a3"/>
        <w:shd w:val="clear" w:color="auto" w:fill="FFFFFF"/>
        <w:spacing w:before="0" w:beforeAutospacing="0" w:after="0" w:afterAutospacing="0"/>
        <w:ind w:left="-180"/>
        <w:jc w:val="both"/>
      </w:pPr>
      <w:r w:rsidRPr="00C25557">
        <w:rPr>
          <w:i/>
          <w:iCs/>
          <w:shd w:val="clear" w:color="auto" w:fill="FFFFFF"/>
        </w:rPr>
        <w:t>Додаткові вимоги до обсягу медичних послуг, який надавач зобов’язується надавати за договором відповідно до медичних потреб пацієнта/пацієнтки (специфікація) (для надання медичної допомоги дітям):</w:t>
      </w:r>
    </w:p>
    <w:p w:rsidR="00E20CC3" w:rsidRPr="00C25557" w:rsidRDefault="00E20CC3" w:rsidP="00E20CC3">
      <w:pPr>
        <w:pStyle w:val="a3"/>
        <w:numPr>
          <w:ilvl w:val="0"/>
          <w:numId w:val="29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Надання медичної допомоги дітям із тяжкими гострими та хронічними захворюваннями, в тому числі у відділенні інтенсивної терапії, відповідно до галузевих стандартів у сфері охорони здоров’я.</w:t>
      </w:r>
    </w:p>
    <w:p w:rsidR="00E20CC3" w:rsidRPr="00C25557" w:rsidRDefault="00E20CC3" w:rsidP="00E20CC3">
      <w:pPr>
        <w:pStyle w:val="a3"/>
        <w:numPr>
          <w:ilvl w:val="0"/>
          <w:numId w:val="29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Цілодобове проведення інструментальних досліджень в умовах стаціонару.</w:t>
      </w:r>
    </w:p>
    <w:p w:rsidR="00E20CC3" w:rsidRPr="00C25557" w:rsidRDefault="00E20CC3" w:rsidP="00E20CC3">
      <w:pPr>
        <w:pStyle w:val="a3"/>
        <w:numPr>
          <w:ilvl w:val="0"/>
          <w:numId w:val="29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Цілодобове проведення лабораторних досліджень у закладі.</w:t>
      </w:r>
    </w:p>
    <w:p w:rsidR="00E20CC3" w:rsidRPr="00C25557" w:rsidRDefault="00E20CC3" w:rsidP="00E20CC3">
      <w:pPr>
        <w:pStyle w:val="a3"/>
        <w:numPr>
          <w:ilvl w:val="0"/>
          <w:numId w:val="29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Надання реабілітаційних послуг за відсутності протипоказань в гострому періоді реабілітації та направлення пацієнтів для отримання реабілітаційних послуг у післягострому та довготривалому періодах реабілітації.</w:t>
      </w:r>
    </w:p>
    <w:p w:rsidR="00E20CC3" w:rsidRPr="00C25557" w:rsidRDefault="00E20CC3" w:rsidP="00E20CC3">
      <w:pPr>
        <w:pStyle w:val="a3"/>
        <w:shd w:val="clear" w:color="auto" w:fill="FFFFFF"/>
        <w:spacing w:before="0" w:beforeAutospacing="0" w:after="0" w:afterAutospacing="0"/>
        <w:jc w:val="both"/>
      </w:pPr>
      <w:r w:rsidRPr="00C25557">
        <w:rPr>
          <w:i/>
          <w:iCs/>
          <w:shd w:val="clear" w:color="auto" w:fill="FFFFFF"/>
        </w:rPr>
        <w:t>Додаткові вимоги до обсягу медичних послуг, який надавач зобов’язується надавати за договором відповідно до медичних потреб пацієнта/пацієнтки (специфікація) (для надання медичної допомоги дорослим):</w:t>
      </w:r>
    </w:p>
    <w:p w:rsidR="00E20CC3" w:rsidRPr="00C25557" w:rsidRDefault="00E20CC3" w:rsidP="00E20CC3">
      <w:pPr>
        <w:pStyle w:val="a3"/>
        <w:numPr>
          <w:ilvl w:val="0"/>
          <w:numId w:val="30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Цілодобове проведення інструментальних досліджень в умовах стаціонару.</w:t>
      </w:r>
    </w:p>
    <w:p w:rsidR="00E20CC3" w:rsidRPr="00C25557" w:rsidRDefault="00E20CC3" w:rsidP="00E20CC3">
      <w:pPr>
        <w:pStyle w:val="a3"/>
        <w:numPr>
          <w:ilvl w:val="0"/>
          <w:numId w:val="30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Цілодобове проведення лабораторних досліджень у закладі.</w:t>
      </w:r>
    </w:p>
    <w:p w:rsidR="00E20CC3" w:rsidRPr="00C25557" w:rsidRDefault="00E20CC3" w:rsidP="00E20CC3">
      <w:pPr>
        <w:pStyle w:val="a3"/>
        <w:numPr>
          <w:ilvl w:val="0"/>
          <w:numId w:val="30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C25557">
        <w:rPr>
          <w:shd w:val="clear" w:color="auto" w:fill="FFFFFF"/>
        </w:rPr>
        <w:t>Надання реабілітаційних послуг за відсутності протипоказань в гострому періоді реабілітації та направлення пацієнтів для отримання реабілітаційних послуг у післягострому та довготривалому періодах реабілітації.</w:t>
      </w:r>
    </w:p>
    <w:p w:rsidR="006731F7" w:rsidRPr="00E20CC3" w:rsidRDefault="006731F7" w:rsidP="00E20CC3">
      <w:bookmarkStart w:id="0" w:name="_GoBack"/>
      <w:bookmarkEnd w:id="0"/>
    </w:p>
    <w:sectPr w:rsidR="006731F7" w:rsidRPr="00E20C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91D84"/>
    <w:multiLevelType w:val="multilevel"/>
    <w:tmpl w:val="0ED2F50E"/>
    <w:lvl w:ilvl="0">
      <w:start w:val="1"/>
      <w:numFmt w:val="lowerLetter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8C23ABA"/>
    <w:multiLevelType w:val="multilevel"/>
    <w:tmpl w:val="775EB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117C6A"/>
    <w:multiLevelType w:val="multilevel"/>
    <w:tmpl w:val="7018A70E"/>
    <w:lvl w:ilvl="0">
      <w:start w:val="1"/>
      <w:numFmt w:val="lowerLetter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0812A68"/>
    <w:multiLevelType w:val="multilevel"/>
    <w:tmpl w:val="22E65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690FF4"/>
    <w:multiLevelType w:val="multilevel"/>
    <w:tmpl w:val="5D805F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F9947BB"/>
    <w:multiLevelType w:val="multilevel"/>
    <w:tmpl w:val="032E58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27B52D3"/>
    <w:multiLevelType w:val="multilevel"/>
    <w:tmpl w:val="59B263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BF218E"/>
    <w:multiLevelType w:val="multilevel"/>
    <w:tmpl w:val="ECF4D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FC1E29"/>
    <w:multiLevelType w:val="multilevel"/>
    <w:tmpl w:val="79C04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C52D2A"/>
    <w:multiLevelType w:val="multilevel"/>
    <w:tmpl w:val="ACD295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8665DEC"/>
    <w:multiLevelType w:val="multilevel"/>
    <w:tmpl w:val="E1703D0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CD87C6E"/>
    <w:multiLevelType w:val="multilevel"/>
    <w:tmpl w:val="9656D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384C0E"/>
    <w:multiLevelType w:val="multilevel"/>
    <w:tmpl w:val="F47A9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8E0FF5"/>
    <w:multiLevelType w:val="multilevel"/>
    <w:tmpl w:val="B8D8E5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4DD94336"/>
    <w:multiLevelType w:val="multilevel"/>
    <w:tmpl w:val="5D04EA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032515"/>
    <w:multiLevelType w:val="multilevel"/>
    <w:tmpl w:val="9B28E2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615B38DB"/>
    <w:multiLevelType w:val="multilevel"/>
    <w:tmpl w:val="AF90D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BF030E"/>
    <w:multiLevelType w:val="multilevel"/>
    <w:tmpl w:val="AED81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2F5954"/>
    <w:multiLevelType w:val="multilevel"/>
    <w:tmpl w:val="56020A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7CB16CC6"/>
    <w:multiLevelType w:val="multilevel"/>
    <w:tmpl w:val="53AA2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18"/>
  </w:num>
  <w:num w:numId="3">
    <w:abstractNumId w:val="5"/>
  </w:num>
  <w:num w:numId="4">
    <w:abstractNumId w:val="19"/>
  </w:num>
  <w:num w:numId="5">
    <w:abstractNumId w:val="10"/>
  </w:num>
  <w:num w:numId="6">
    <w:abstractNumId w:val="15"/>
  </w:num>
  <w:num w:numId="7">
    <w:abstractNumId w:val="0"/>
  </w:num>
  <w:num w:numId="8">
    <w:abstractNumId w:val="2"/>
  </w:num>
  <w:num w:numId="9">
    <w:abstractNumId w:val="9"/>
  </w:num>
  <w:num w:numId="10">
    <w:abstractNumId w:val="13"/>
  </w:num>
  <w:num w:numId="11">
    <w:abstractNumId w:val="1"/>
  </w:num>
  <w:num w:numId="12">
    <w:abstractNumId w:val="1"/>
    <w:lvlOverride w:ilvl="1">
      <w:lvl w:ilvl="1">
        <w:numFmt w:val="lowerLetter"/>
        <w:lvlText w:val="%2."/>
        <w:lvlJc w:val="left"/>
      </w:lvl>
    </w:lvlOverride>
  </w:num>
  <w:num w:numId="13">
    <w:abstractNumId w:val="1"/>
    <w:lvlOverride w:ilvl="1">
      <w:lvl w:ilvl="1">
        <w:numFmt w:val="lowerLetter"/>
        <w:lvlText w:val="%2."/>
        <w:lvlJc w:val="left"/>
      </w:lvl>
    </w:lvlOverride>
  </w:num>
  <w:num w:numId="14">
    <w:abstractNumId w:val="8"/>
  </w:num>
  <w:num w:numId="15">
    <w:abstractNumId w:val="17"/>
  </w:num>
  <w:num w:numId="16">
    <w:abstractNumId w:val="7"/>
  </w:num>
  <w:num w:numId="17">
    <w:abstractNumId w:val="16"/>
    <w:lvlOverride w:ilvl="0">
      <w:lvl w:ilvl="0">
        <w:numFmt w:val="lowerLetter"/>
        <w:lvlText w:val="%1."/>
        <w:lvlJc w:val="left"/>
      </w:lvl>
    </w:lvlOverride>
  </w:num>
  <w:num w:numId="18">
    <w:abstractNumId w:val="14"/>
    <w:lvlOverride w:ilvl="0">
      <w:lvl w:ilvl="0">
        <w:numFmt w:val="decimal"/>
        <w:lvlText w:val="%1."/>
        <w:lvlJc w:val="left"/>
      </w:lvl>
    </w:lvlOverride>
  </w:num>
  <w:num w:numId="19">
    <w:abstractNumId w:val="3"/>
    <w:lvlOverride w:ilvl="0">
      <w:lvl w:ilvl="0">
        <w:numFmt w:val="lowerLetter"/>
        <w:lvlText w:val="%1."/>
        <w:lvlJc w:val="left"/>
      </w:lvl>
    </w:lvlOverride>
  </w:num>
  <w:num w:numId="20">
    <w:abstractNumId w:val="6"/>
    <w:lvlOverride w:ilvl="0">
      <w:lvl w:ilvl="0">
        <w:numFmt w:val="decimal"/>
        <w:lvlText w:val="%1."/>
        <w:lvlJc w:val="left"/>
      </w:lvl>
    </w:lvlOverride>
  </w:num>
  <w:num w:numId="21">
    <w:abstractNumId w:val="6"/>
    <w:lvlOverride w:ilvl="0">
      <w:lvl w:ilvl="0">
        <w:numFmt w:val="decimal"/>
        <w:lvlText w:val="%1."/>
        <w:lvlJc w:val="left"/>
      </w:lvl>
    </w:lvlOverride>
  </w:num>
  <w:num w:numId="22">
    <w:abstractNumId w:val="6"/>
    <w:lvlOverride w:ilvl="0">
      <w:lvl w:ilvl="0">
        <w:numFmt w:val="decimal"/>
        <w:lvlText w:val="%1."/>
        <w:lvlJc w:val="left"/>
      </w:lvl>
    </w:lvlOverride>
  </w:num>
  <w:num w:numId="23">
    <w:abstractNumId w:val="6"/>
    <w:lvlOverride w:ilvl="0">
      <w:lvl w:ilvl="0">
        <w:numFmt w:val="decimal"/>
        <w:lvlText w:val="%1."/>
        <w:lvlJc w:val="left"/>
      </w:lvl>
    </w:lvlOverride>
  </w:num>
  <w:num w:numId="24">
    <w:abstractNumId w:val="6"/>
    <w:lvlOverride w:ilvl="0">
      <w:lvl w:ilvl="0">
        <w:numFmt w:val="decimal"/>
        <w:lvlText w:val="%1."/>
        <w:lvlJc w:val="left"/>
      </w:lvl>
    </w:lvlOverride>
  </w:num>
  <w:num w:numId="25">
    <w:abstractNumId w:val="6"/>
    <w:lvlOverride w:ilvl="0">
      <w:lvl w:ilvl="0">
        <w:numFmt w:val="decimal"/>
        <w:lvlText w:val="%1."/>
        <w:lvlJc w:val="left"/>
      </w:lvl>
    </w:lvlOverride>
  </w:num>
  <w:num w:numId="26">
    <w:abstractNumId w:val="6"/>
    <w:lvlOverride w:ilvl="0">
      <w:lvl w:ilvl="0">
        <w:numFmt w:val="decimal"/>
        <w:lvlText w:val="%1."/>
        <w:lvlJc w:val="left"/>
      </w:lvl>
    </w:lvlOverride>
  </w:num>
  <w:num w:numId="27">
    <w:abstractNumId w:val="6"/>
    <w:lvlOverride w:ilvl="0">
      <w:lvl w:ilvl="0">
        <w:numFmt w:val="decimal"/>
        <w:lvlText w:val="%1."/>
        <w:lvlJc w:val="left"/>
      </w:lvl>
    </w:lvlOverride>
  </w:num>
  <w:num w:numId="28">
    <w:abstractNumId w:val="6"/>
    <w:lvlOverride w:ilvl="0">
      <w:lvl w:ilvl="0">
        <w:numFmt w:val="decimal"/>
        <w:lvlText w:val="%1."/>
        <w:lvlJc w:val="left"/>
      </w:lvl>
    </w:lvlOverride>
  </w:num>
  <w:num w:numId="29">
    <w:abstractNumId w:val="12"/>
  </w:num>
  <w:num w:numId="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3E2"/>
    <w:rsid w:val="00025E1A"/>
    <w:rsid w:val="000617AC"/>
    <w:rsid w:val="00415F35"/>
    <w:rsid w:val="00451249"/>
    <w:rsid w:val="00540F60"/>
    <w:rsid w:val="006731F7"/>
    <w:rsid w:val="006C43E2"/>
    <w:rsid w:val="008D2A75"/>
    <w:rsid w:val="00993769"/>
    <w:rsid w:val="00A200B1"/>
    <w:rsid w:val="00C47F4E"/>
    <w:rsid w:val="00DC35BC"/>
    <w:rsid w:val="00E008BC"/>
    <w:rsid w:val="00E20CC3"/>
    <w:rsid w:val="00F5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8996A1-28B5-4934-BCE1-8EB591FB5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C35BC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993769"/>
    <w:pPr>
      <w:keepNext/>
      <w:keepLines/>
      <w:spacing w:before="360" w:after="120"/>
      <w:outlineLvl w:val="1"/>
    </w:pPr>
    <w:rPr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93769"/>
    <w:rPr>
      <w:rFonts w:ascii="Arial" w:eastAsia="Arial" w:hAnsi="Arial" w:cs="Arial"/>
      <w:sz w:val="32"/>
      <w:szCs w:val="32"/>
      <w:lang w:val="ru" w:eastAsia="ru-RU"/>
    </w:rPr>
  </w:style>
  <w:style w:type="paragraph" w:styleId="a3">
    <w:name w:val="Normal (Web)"/>
    <w:basedOn w:val="a"/>
    <w:uiPriority w:val="99"/>
    <w:unhideWhenUsed/>
    <w:rsid w:val="00415F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801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Кудря Євген Валерійович</cp:lastModifiedBy>
  <cp:revision>4</cp:revision>
  <dcterms:created xsi:type="dcterms:W3CDTF">2021-07-30T14:31:00Z</dcterms:created>
  <dcterms:modified xsi:type="dcterms:W3CDTF">2022-02-07T08:48:00Z</dcterms:modified>
</cp:coreProperties>
</file>