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3F88A" w14:textId="77777777" w:rsidR="00617F9D" w:rsidRPr="00572106" w:rsidRDefault="00617F9D" w:rsidP="00617F9D">
      <w:pPr>
        <w:shd w:val="clear" w:color="auto" w:fill="FFFFFF"/>
        <w:spacing w:before="480" w:after="120" w:line="240" w:lineRule="auto"/>
        <w:ind w:left="720" w:hanging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uk-UA"/>
          <w14:ligatures w14:val="none"/>
        </w:rPr>
        <w:t>НЕОНАТАЛЬНИЙ СКРИНІНГ</w:t>
      </w:r>
    </w:p>
    <w:p w14:paraId="3CD29974" w14:textId="77777777" w:rsidR="00617F9D" w:rsidRPr="00572106" w:rsidRDefault="00617F9D" w:rsidP="00617F9D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Обсяг медичних послуг, який надавач зобов’язується надавати за договором відповідно до медичних потреб пацієнта/пацієнтки (специфікація)</w:t>
      </w:r>
    </w:p>
    <w:p w14:paraId="7655D061" w14:textId="77777777" w:rsidR="00617F9D" w:rsidRPr="00572106" w:rsidRDefault="00617F9D" w:rsidP="00617F9D">
      <w:pPr>
        <w:numPr>
          <w:ilvl w:val="0"/>
          <w:numId w:val="3"/>
        </w:numPr>
        <w:shd w:val="clear" w:color="auto" w:fill="FFFFFF"/>
        <w:spacing w:after="0" w:line="240" w:lineRule="auto"/>
        <w:ind w:right="2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Отримання та реєстрація зразків крові новонароджених, зокрема, повторно взятих, з підпорядкованих регіональному центру неонатального скринінгу регіонів.</w:t>
      </w:r>
    </w:p>
    <w:p w14:paraId="5527FFE4" w14:textId="77777777" w:rsidR="00617F9D" w:rsidRPr="00572106" w:rsidRDefault="00617F9D" w:rsidP="00617F9D">
      <w:pPr>
        <w:numPr>
          <w:ilvl w:val="0"/>
          <w:numId w:val="3"/>
        </w:numPr>
        <w:shd w:val="clear" w:color="auto" w:fill="FFFFFF"/>
        <w:spacing w:after="0" w:line="240" w:lineRule="auto"/>
        <w:ind w:right="2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Проведення лабораторних досліджень, зокрема, повторних, у сухих плямах крові, зокрема:</w:t>
      </w:r>
    </w:p>
    <w:p w14:paraId="7A90A1F8" w14:textId="77777777" w:rsidR="00617F9D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ацилкарнітини;</w:t>
      </w:r>
    </w:p>
    <w:p w14:paraId="19A2A6A0" w14:textId="77777777" w:rsidR="00617F9D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амінокислоти;</w:t>
      </w:r>
    </w:p>
    <w:p w14:paraId="0FDF0199" w14:textId="77777777" w:rsidR="00617F9D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17α-гідроксипрогестерон (17-ОПГ);</w:t>
      </w:r>
    </w:p>
    <w:p w14:paraId="794D0A45" w14:textId="77777777" w:rsidR="00617F9D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імунореактивний трипсин (ІРТ);</w:t>
      </w:r>
    </w:p>
    <w:p w14:paraId="1B8FE20B" w14:textId="77777777" w:rsidR="00617F9D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тиреотропний гормон (ТТГ);</w:t>
      </w:r>
    </w:p>
    <w:p w14:paraId="79DF85E7" w14:textId="77777777" w:rsidR="00617F9D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активність галактозо-1-фосфат уридилтрансферази (GALT);</w:t>
      </w:r>
    </w:p>
    <w:p w14:paraId="0F20DAD1" w14:textId="77777777" w:rsidR="00617F9D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активність біотинідази;</w:t>
      </w:r>
    </w:p>
    <w:p w14:paraId="7A774CFA" w14:textId="77777777" w:rsidR="00617F9D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виявлення делеції екзона 7 у гені SMN1;</w:t>
      </w:r>
    </w:p>
    <w:p w14:paraId="4DD116D8" w14:textId="77777777" w:rsidR="00617F9D" w:rsidRPr="00D16960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виявленні зміни кількості специфічних кільцевих ДНК, які утворюються при  рекомбінації рецепторів Т- та В-лімфоцитів (TREC та KREC), </w:t>
      </w:r>
    </w:p>
    <w:p w14:paraId="69663867" w14:textId="77777777" w:rsidR="00617F9D" w:rsidRPr="00572106" w:rsidRDefault="00617F9D" w:rsidP="00617F9D">
      <w:pPr>
        <w:shd w:val="clear" w:color="auto" w:fill="FFFFFF"/>
        <w:spacing w:after="0" w:line="240" w:lineRule="auto"/>
        <w:ind w:left="560" w:right="4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для діагностики захворювань відповідно до Переліку захворювань, які включені до програми розширеного масового скринінгу новонароджених:</w:t>
      </w:r>
    </w:p>
    <w:p w14:paraId="118EC2C1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aдреногенітальний синдром;</w:t>
      </w:r>
    </w:p>
    <w:p w14:paraId="2CD218D7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біотинідазна недостатність;</w:t>
      </w:r>
    </w:p>
    <w:p w14:paraId="130FC8D3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вроджений гіпотиреоз;</w:t>
      </w:r>
    </w:p>
    <w:p w14:paraId="5F97FC86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галактоземія I типу;</w:t>
      </w:r>
    </w:p>
    <w:p w14:paraId="64BF9185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глютарова ацидурія I типу;</w:t>
      </w:r>
    </w:p>
    <w:p w14:paraId="243E8A4A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глютарова ацидурія II типу;</w:t>
      </w:r>
    </w:p>
    <w:p w14:paraId="0E4BECBD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дефіцит середньоланцюгової ацил-КоА-дегідрогенази (MCAD);</w:t>
      </w:r>
    </w:p>
    <w:p w14:paraId="11C5B673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дефіцит довголанцюгової гидроксіацил-КоА-дегідрогенази (LCHAD);</w:t>
      </w:r>
    </w:p>
    <w:p w14:paraId="68F51E8F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дефіцит дуже довголанцюгової ацил-КоА-дегідрогенази (VLCAD);</w:t>
      </w:r>
    </w:p>
    <w:p w14:paraId="1EA24A6A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дефіцит трифункціонального білка;</w:t>
      </w:r>
    </w:p>
    <w:p w14:paraId="530D7EA7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дефіцит HMG-ліази;</w:t>
      </w:r>
    </w:p>
    <w:p w14:paraId="47C0A4B5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ізовалеріанова ацидурія;</w:t>
      </w:r>
    </w:p>
    <w:p w14:paraId="447B9E01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лейциноз (хвороба "кленового сиропу");</w:t>
      </w:r>
    </w:p>
    <w:p w14:paraId="55695591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метілмалонова ацидурія;</w:t>
      </w:r>
    </w:p>
    <w:p w14:paraId="45048746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муковісцидоз;</w:t>
      </w:r>
    </w:p>
    <w:p w14:paraId="59C65BF9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первинний карнітиновий дефіцит;</w:t>
      </w:r>
    </w:p>
    <w:p w14:paraId="29C34D9A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пропіонова ацидурія;</w:t>
      </w:r>
    </w:p>
    <w:p w14:paraId="4484E73C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спінальна м'язова атрофія;</w:t>
      </w:r>
    </w:p>
    <w:p w14:paraId="39A7BDEB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тирозинемія I типу;</w:t>
      </w:r>
    </w:p>
    <w:p w14:paraId="732DA108" w14:textId="77777777" w:rsidR="00617F9D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тяжкий комбінований імунодефіцит (SCID);</w:t>
      </w:r>
    </w:p>
    <w:p w14:paraId="3887A6BE" w14:textId="77777777" w:rsidR="00617F9D" w:rsidRPr="00D16960" w:rsidRDefault="00617F9D" w:rsidP="00617F9D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фенілкетонурія та інші гіперфенілаланінемії.</w:t>
      </w:r>
    </w:p>
    <w:p w14:paraId="4714A429" w14:textId="77777777" w:rsidR="00617F9D" w:rsidRDefault="00617F9D" w:rsidP="00617F9D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Проведення моніторингу логістики та якості взяття зразків крові новонароджених у ЗОЗ та надання інформації медико-генетичним закладам, які визначені МОЗ відповідальними координаторами скринінгу новонароджених у регіонах, про дефектуру.</w:t>
      </w:r>
    </w:p>
    <w:p w14:paraId="7DEA8A43" w14:textId="77777777" w:rsidR="00617F9D" w:rsidRPr="00D16960" w:rsidRDefault="00617F9D" w:rsidP="00617F9D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ind w:right="42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Інформування експертного центру неонатального скринінгу та медико-генетичних закладів, які визначені МОЗ відповідальними координаторами скринінгу новонароджених у регіонах, про сумнівний/позитивний результат скринінгу відповідно до порядку проведення розширеного масового скринінгу новонароджених.</w:t>
      </w:r>
    </w:p>
    <w:p w14:paraId="29C73696" w14:textId="77777777" w:rsidR="00617F9D" w:rsidRPr="00572106" w:rsidRDefault="00617F9D" w:rsidP="00617F9D">
      <w:pPr>
        <w:shd w:val="clear" w:color="auto" w:fill="FFFFFF"/>
        <w:spacing w:before="480" w:after="120" w:line="240" w:lineRule="auto"/>
        <w:ind w:left="720" w:hanging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uk-UA"/>
          <w14:ligatures w14:val="none"/>
        </w:rPr>
        <w:lastRenderedPageBreak/>
        <w:t>НЕОНАТАЛЬНИЙ СКРИНІНГ</w:t>
      </w:r>
    </w:p>
    <w:p w14:paraId="5A85D0E9" w14:textId="77777777" w:rsidR="00617F9D" w:rsidRPr="00572106" w:rsidRDefault="00617F9D" w:rsidP="00617F9D">
      <w:pPr>
        <w:shd w:val="clear" w:color="auto" w:fill="FFFFFF"/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Умови закупівлі медичних послуг</w:t>
      </w:r>
    </w:p>
    <w:p w14:paraId="5AAC723B" w14:textId="77777777" w:rsidR="00617F9D" w:rsidRDefault="00617F9D" w:rsidP="00617F9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</w:pPr>
    </w:p>
    <w:p w14:paraId="24A71761" w14:textId="77777777" w:rsidR="00617F9D" w:rsidRPr="00572106" w:rsidRDefault="00617F9D" w:rsidP="00617F9D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Підстави надання послуги</w:t>
      </w:r>
      <w:r w:rsidRPr="0057210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: направлення на проведення лабораторного дослідження зразка крові новонародженого за програмою розширеного масового скринінгу новонароджених.</w:t>
      </w:r>
    </w:p>
    <w:p w14:paraId="3938A4D4" w14:textId="77777777" w:rsidR="00617F9D" w:rsidRDefault="00617F9D" w:rsidP="00617F9D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</w:pPr>
    </w:p>
    <w:p w14:paraId="4D182285" w14:textId="77777777" w:rsidR="00617F9D" w:rsidRPr="00572106" w:rsidRDefault="00617F9D" w:rsidP="00617F9D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Вимоги до організації надання послуги:</w:t>
      </w:r>
    </w:p>
    <w:p w14:paraId="31F1296D" w14:textId="77777777" w:rsidR="00617F9D" w:rsidRPr="00572106" w:rsidRDefault="00617F9D" w:rsidP="00617F9D">
      <w:pPr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Наявність лабораторних приміщень для виконання лабораторних досліджень, зокрема:</w:t>
      </w:r>
    </w:p>
    <w:p w14:paraId="0BCEFDA9" w14:textId="77777777" w:rsidR="00617F9D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сектор імунофлюоресцентного аналізу, який включає приміщення пробопідготовки (вода, УФ-опромінення), апаратну (вентиляція, клімат-контроль, інтернет);</w:t>
      </w:r>
    </w:p>
    <w:p w14:paraId="1EE605AD" w14:textId="77777777" w:rsidR="00617F9D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молекулярно-генетичний сектор, який включає приміщення передбоксу пробопідготовки (вода, УФ-опромінення), пробопідготовки (припливно-витяжна вентиляція, УФ-опромінення), передбоксу апаратної (вода, УФ-опромінення), апаратну (припливно-витяжна вентиляція, інтернет, УФ-опромінення);</w:t>
      </w:r>
    </w:p>
    <w:p w14:paraId="79748A0C" w14:textId="77777777" w:rsidR="00617F9D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сектор хроматомасспектрометрії, який включає приміщення пробопідготовки (вода, УФ-опромінення, витяжна шафа) та апаратну (вентиляція, клімат-контроль, інтернет);</w:t>
      </w:r>
    </w:p>
    <w:p w14:paraId="06E0E427" w14:textId="77777777" w:rsidR="00617F9D" w:rsidRPr="00D16960" w:rsidRDefault="00617F9D" w:rsidP="00617F9D">
      <w:pPr>
        <w:pStyle w:val="a3"/>
        <w:numPr>
          <w:ilvl w:val="1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загальні приміщення, які включають приміщення прийому біоматеріалу (вода, УФ-опромінення, інтернет), зберігання реагентів (вентиляція, клімат-контроль), аналізу результатів (вентиляція, клімат-контроль, інтернет), кімнату для персоналу (вентиляція, клімат-контроль).</w:t>
      </w:r>
    </w:p>
    <w:p w14:paraId="7C9D4DF5" w14:textId="77777777" w:rsidR="00617F9D" w:rsidRDefault="00617F9D" w:rsidP="00617F9D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Забезпечення наявності спеціального лабораторного обладнання, яке вимагає програма розширеного масового неонатального скринінгу, відповідно до табеля матеріально-технічного оснащення.</w:t>
      </w:r>
    </w:p>
    <w:p w14:paraId="39C4AD23" w14:textId="77777777" w:rsidR="00617F9D" w:rsidRPr="00D16960" w:rsidRDefault="00617F9D" w:rsidP="00617F9D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Забезпечення наявності реагентів для проведення лабораторного дослідження за програмою розширеного масового неонатального скринінгу  новонароджених:</w:t>
      </w:r>
    </w:p>
    <w:p w14:paraId="4932D861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тест-набір для визначення фенілаланіну в зразках крові, висушених на фільтрувальному папері для скринінгу новонароджених на фенілкетонурію;</w:t>
      </w:r>
    </w:p>
    <w:p w14:paraId="3EA3D1B6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тест-набір для визначення тиреотропіну в зразках крові, висушених на фільтрувальному папері для скринінгу новонароджених на вроджений гіпотиреоз;</w:t>
      </w:r>
    </w:p>
    <w:p w14:paraId="2DB1101B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тест-набір для визначення імунореактивного трипсиногену в зразках крові, висушених на фільтрувальному папері для скринінгу новонароджених на муковісцидоз;</w:t>
      </w:r>
    </w:p>
    <w:p w14:paraId="7CC39F3E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тест-набір для визначення 17-гідроксипрогестерону в зразках крові, висушених на фільтрувальному папері для скринінгу новонароджених на адреногенітальний синдром;</w:t>
      </w:r>
    </w:p>
    <w:p w14:paraId="77C0F9A4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тест-набір для визначення GALT в зразках крові, висушених на фільтрувальному папері для скринінгу новонароджених на галактоземію;</w:t>
      </w:r>
    </w:p>
    <w:p w14:paraId="41360CFA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тест-набір для скринінгу спінальної м'язової атрофії при визначенні делецій SMN1 важкого комбінованого імунодефіциту при визначенні TREC і KREC в зразках крові новонароджених, висушених на фільтрувальному папері;</w:t>
      </w:r>
    </w:p>
    <w:p w14:paraId="519CAB29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тест-набір для визначення амінокислот, вільного карнітину, ацилкарнітину та інших аналітів методом тандемної мас-спектрометрії в зразках крові, висушених на фільтрувальному папері для скринінгу новонароджених на вроджені метаболічні порушення;</w:t>
      </w:r>
    </w:p>
    <w:p w14:paraId="025F23A8" w14:textId="77777777" w:rsidR="00617F9D" w:rsidRPr="00D16960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інших витратних матеріалів, необхідних для проведення розширеного масового неонатального скринінгу.</w:t>
      </w:r>
    </w:p>
    <w:p w14:paraId="16E79CC1" w14:textId="77777777" w:rsidR="00617F9D" w:rsidRPr="00D16960" w:rsidRDefault="00617F9D" w:rsidP="00617F9D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lastRenderedPageBreak/>
        <w:t xml:space="preserve">Забезпечення проведення дослідження отриманих зразків крові новонароджених з підпорядкованих регіонів та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надання лабораторно-діагностичних послуг, зокрема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проведення лабораторних досліджень, зокрема, повторних у сухих плямах крові відповідно до Переліку захворювань за програмою розширеного масового неонатального скринінугу:</w:t>
      </w:r>
    </w:p>
    <w:p w14:paraId="4E755ED9" w14:textId="77777777" w:rsidR="00617F9D" w:rsidRPr="00D16960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aдреногенітальний синдром;</w:t>
      </w:r>
    </w:p>
    <w:p w14:paraId="07C4874C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біотинідазна недостатність;</w:t>
      </w:r>
    </w:p>
    <w:p w14:paraId="198727A2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вроджений гіпотиреоз;</w:t>
      </w:r>
    </w:p>
    <w:p w14:paraId="71082E17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галактоземія I типу;</w:t>
      </w:r>
    </w:p>
    <w:p w14:paraId="61DD2A0E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глютарова ацидурія I типу;</w:t>
      </w:r>
    </w:p>
    <w:p w14:paraId="7CA3451B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глютарова ацидурія II типу;</w:t>
      </w:r>
    </w:p>
    <w:p w14:paraId="1E9F1DD6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дефіцит середньоланцюгової ацил-КоА-дегідрогенази (MCAD);</w:t>
      </w:r>
    </w:p>
    <w:p w14:paraId="59486C7D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дефіцит довголанцюгової гидроксіацил-КоА-дегідрогенази (LCHAD);</w:t>
      </w:r>
    </w:p>
    <w:p w14:paraId="4A76D7C5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дефіцит дуже довголанцюгової ацил-КоА-дегідрогенази (VLCAD);</w:t>
      </w:r>
    </w:p>
    <w:p w14:paraId="4C406AAC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дефіцит трифункціонального білка;</w:t>
      </w:r>
    </w:p>
    <w:p w14:paraId="5E49149C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дефіцит HMG-ліази;</w:t>
      </w:r>
    </w:p>
    <w:p w14:paraId="34A8937E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ізовалеріанова ацидурія;</w:t>
      </w:r>
    </w:p>
    <w:p w14:paraId="422F150D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лейциноз (хвороба "кленового сиропу");</w:t>
      </w:r>
    </w:p>
    <w:p w14:paraId="23476A1E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метілмалонова ацидурія;</w:t>
      </w:r>
    </w:p>
    <w:p w14:paraId="05BEC4F0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муковісцидоз;</w:t>
      </w:r>
    </w:p>
    <w:p w14:paraId="0295DBF8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первинний карнітиновий дефіцит;</w:t>
      </w:r>
    </w:p>
    <w:p w14:paraId="4A247616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пропіонова ацидурія;</w:t>
      </w:r>
    </w:p>
    <w:p w14:paraId="73D2FE49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спінальна м'язова атрофія;</w:t>
      </w:r>
    </w:p>
    <w:p w14:paraId="007234A1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тирозинемія I типу;</w:t>
      </w:r>
    </w:p>
    <w:p w14:paraId="3859AC93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тяжкий комбінований імунодефіцит (SCID);</w:t>
      </w:r>
    </w:p>
    <w:p w14:paraId="633E640F" w14:textId="77777777" w:rsidR="00617F9D" w:rsidRPr="00D16960" w:rsidRDefault="00617F9D" w:rsidP="00617F9D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фенілкетонурія та інші гіперфенілаланінемії.</w:t>
      </w:r>
    </w:p>
    <w:p w14:paraId="6B9184E3" w14:textId="77777777" w:rsidR="00617F9D" w:rsidRDefault="00617F9D" w:rsidP="00617F9D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Здійснення контролю за дотриманням процедури взяття та термінів відправлення зразків крові надавачами медичних послуг у підпорядкованих регіонах відповідно до порядку проведення розширеного масового скринінгу новонароджених.</w:t>
      </w:r>
    </w:p>
    <w:p w14:paraId="48A3F8D1" w14:textId="77777777" w:rsidR="00617F9D" w:rsidRDefault="00617F9D" w:rsidP="00617F9D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Наявність затверджених стандартно-операційних процедур зі скринінгу та лабораторної діагностики орфанних хвороб,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які включені до програми розширеного масового неонатального скринінгу новонароджених.</w:t>
      </w:r>
    </w:p>
    <w:p w14:paraId="558D499C" w14:textId="77777777" w:rsidR="00617F9D" w:rsidRPr="00D16960" w:rsidRDefault="00617F9D" w:rsidP="00617F9D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Забезпечення взаємодії з надавачами медичних послуг у підпорядкованих регіонах, а також з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експертним центром неонатального скринінгу</w:t>
      </w:r>
      <w:r w:rsidRPr="00D169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. </w:t>
      </w:r>
    </w:p>
    <w:p w14:paraId="284DBDCA" w14:textId="77777777" w:rsidR="00617F9D" w:rsidRDefault="00617F9D" w:rsidP="00617F9D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Організація та забезпечення системи управління якістю лабораторних досліджень при виконанні розширеного масового неонатального скринінгу у підпорядкованих регіонах.</w:t>
      </w:r>
    </w:p>
    <w:p w14:paraId="4976B93C" w14:textId="77777777" w:rsidR="00617F9D" w:rsidRPr="00D16960" w:rsidRDefault="00617F9D" w:rsidP="00617F9D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Забезпечення взаємодії між регіональними центрами неонатального скринінгу, визначеними МОЗ. </w:t>
      </w:r>
    </w:p>
    <w:p w14:paraId="6AAD1E3E" w14:textId="77777777" w:rsidR="00617F9D" w:rsidRPr="00572106" w:rsidRDefault="00617F9D" w:rsidP="00617F9D">
      <w:pPr>
        <w:shd w:val="clear" w:color="auto" w:fill="FFFFFF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Вимоги до спеціалістів та кількості фахівців, які працюють на посадах:</w:t>
      </w:r>
    </w:p>
    <w:p w14:paraId="0E6E1C80" w14:textId="77777777" w:rsidR="00617F9D" w:rsidRDefault="00617F9D" w:rsidP="00617F9D">
      <w:pPr>
        <w:pStyle w:val="a3"/>
        <w:numPr>
          <w:ilvl w:val="1"/>
          <w:numId w:val="4"/>
        </w:numPr>
        <w:shd w:val="clear" w:color="auto" w:fill="FFFFFF"/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Лікар-лаборант-генетик та/або лікар-лаборант з клінічної біохімії,  та/або лікар-лаборант, та/або генетик, та/або біохімік, та/або біолог – щонайменше 10 осіб, які працюють за основним місцем роботи в цьому закладі або за сумісництвом та пройшли підготовку (тренінги або тематичне удосконалення) щонайменше за однією з лабораторних технологій, які використовуються для досліджень за програмою розширеного масового неонатального скринінгу орфанних хвороб (імунофлюоресцентний аналіз та/або полімеразна ланцюгова реакція з детекцією у реальному часі, та/або рідинна хроматографія – масспектрометрія).</w:t>
      </w:r>
    </w:p>
    <w:p w14:paraId="31480429" w14:textId="77777777" w:rsidR="00617F9D" w:rsidRPr="00D16960" w:rsidRDefault="00617F9D" w:rsidP="00617F9D">
      <w:pPr>
        <w:pStyle w:val="a3"/>
        <w:numPr>
          <w:ilvl w:val="1"/>
          <w:numId w:val="4"/>
        </w:numPr>
        <w:shd w:val="clear" w:color="auto" w:fill="FFFFFF"/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Фельдшер-лаборант – щонайменше 10 осіб, які працюють за основним місцем роботи в цьому закладі або за сумісництвом.</w:t>
      </w:r>
    </w:p>
    <w:p w14:paraId="32D4726F" w14:textId="77777777" w:rsidR="00617F9D" w:rsidRPr="00572106" w:rsidRDefault="00617F9D" w:rsidP="00617F9D">
      <w:pPr>
        <w:shd w:val="clear" w:color="auto" w:fill="FFFFFF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Вимоги до переліку обладнання:</w:t>
      </w:r>
    </w:p>
    <w:p w14:paraId="1B36E87D" w14:textId="77777777" w:rsidR="00617F9D" w:rsidRPr="00572106" w:rsidRDefault="00617F9D" w:rsidP="00617F9D">
      <w:pPr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lastRenderedPageBreak/>
        <w:t>У ЗОЗ:</w:t>
      </w:r>
    </w:p>
    <w:p w14:paraId="2481C6EC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автоматизована система в комплекті з програмним забезпеченням для проведення  скринінгу новонароджених із сухих плям крові –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щонайменше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2;</w:t>
      </w:r>
    </w:p>
    <w:p w14:paraId="21B91877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автоматизований панчер у комплекті з програмним забезпеченням для вибивання дисків зі зразків крові новонароджених, висушених на фільтрувальному папері –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щонайменше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2;</w:t>
      </w:r>
    </w:p>
    <w:p w14:paraId="54EC40B5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аналізатор порушень метаболізму на базі системи автоматичного екстрагування з сухих плям крові з прямим введенням у мас-селективний детектор у складі 1, 2 та 3;</w:t>
      </w:r>
    </w:p>
    <w:p w14:paraId="067B316E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система ПЛР у реальному часі в комплекті з ПК (ноутбук), принтером та блоком безперебійного живлення –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щонайменше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 2;</w:t>
      </w:r>
    </w:p>
    <w:p w14:paraId="3F23FBFD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шафа лабораторна з ламінарним потоком (2 клас захисту), на підставці –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щонайменше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 2;</w:t>
      </w:r>
    </w:p>
    <w:p w14:paraId="6286E722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набір дозаторів одноканальних змінного об'єму, які можуть автоклавуватись (0,1 - 10 мкл, 10 - 100 мкл, 100 - 1000 мкл) зі штативом –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щонайменше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6;</w:t>
      </w:r>
    </w:p>
    <w:p w14:paraId="6C5DF577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8-канальний дозатор піпеточний 30 - 300 мкл, автоклавуємий –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щонайменше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6;</w:t>
      </w:r>
    </w:p>
    <w:p w14:paraId="6B9EC892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термошейкер для планшетів –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щонайменше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6;</w:t>
      </w:r>
    </w:p>
    <w:p w14:paraId="45816A12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лабораторна центрифуга в комплекті з ротором для двох стандартних 96-лункових мікропланшетів –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щонайменше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4;</w:t>
      </w:r>
    </w:p>
    <w:p w14:paraId="10CF1713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система очистки води, яка виробляє воду ll класу;</w:t>
      </w:r>
    </w:p>
    <w:p w14:paraId="73B4E1E8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холодильник, який забезпечує підтримання внутрішньої температури на рівні  +4° C об’ємом 1400 л –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щонайменше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4;</w:t>
      </w:r>
    </w:p>
    <w:p w14:paraId="7D4B6F59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морозильна камера, яка забезпечує підтримання внутрішньої температури на рівні  -25°C об’ємом 400 л;</w:t>
      </w:r>
    </w:p>
    <w:p w14:paraId="51FBA317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центрифуга лабораторна –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щонайменше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2;</w:t>
      </w:r>
    </w:p>
    <w:p w14:paraId="3DAC89A4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система автоматичної підготовки ПЛР суміші;</w:t>
      </w:r>
    </w:p>
    <w:p w14:paraId="1F291BB7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робот-дозатор для піпетування –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щонайменше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2;</w:t>
      </w:r>
    </w:p>
    <w:p w14:paraId="07190BBC" w14:textId="77777777" w:rsidR="00617F9D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система для виконання потового тесту –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щонайменше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2;</w:t>
      </w:r>
    </w:p>
    <w:p w14:paraId="66E3CD03" w14:textId="77777777" w:rsidR="00617F9D" w:rsidRPr="00D16960" w:rsidRDefault="00617F9D" w:rsidP="00617F9D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станція для автоматичної екстракції нуклеїнових кислот.</w:t>
      </w:r>
    </w:p>
    <w:p w14:paraId="4C3CE240" w14:textId="77777777" w:rsidR="00617F9D" w:rsidRPr="00572106" w:rsidRDefault="00617F9D" w:rsidP="00617F9D">
      <w:pPr>
        <w:shd w:val="clear" w:color="auto" w:fill="FFFFFF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57210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Інші вимоги:</w:t>
      </w:r>
    </w:p>
    <w:p w14:paraId="56C09C3F" w14:textId="77777777" w:rsidR="00617F9D" w:rsidRPr="00D16960" w:rsidRDefault="00617F9D" w:rsidP="00617F9D">
      <w:pPr>
        <w:pStyle w:val="a3"/>
        <w:numPr>
          <w:ilvl w:val="4"/>
          <w:numId w:val="1"/>
        </w:numPr>
        <w:shd w:val="clear" w:color="auto" w:fill="FFFFFF"/>
        <w:tabs>
          <w:tab w:val="clear" w:pos="3600"/>
        </w:tabs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Наявність ліцензії на провадження господарської діяльності з медичної практики за лікарською спеціальністю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генетика лабораторна.</w:t>
      </w:r>
    </w:p>
    <w:p w14:paraId="194101D0" w14:textId="77777777" w:rsidR="001D3FDD" w:rsidRDefault="001D3FDD"/>
    <w:sectPr w:rsidR="001D3F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B1213"/>
    <w:multiLevelType w:val="multilevel"/>
    <w:tmpl w:val="2C3E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44E4D"/>
    <w:multiLevelType w:val="multilevel"/>
    <w:tmpl w:val="C5F4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C425E"/>
    <w:multiLevelType w:val="multilevel"/>
    <w:tmpl w:val="4D1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324665"/>
    <w:multiLevelType w:val="multilevel"/>
    <w:tmpl w:val="BF2C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6E170D"/>
    <w:multiLevelType w:val="multilevel"/>
    <w:tmpl w:val="36C82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272660584">
    <w:abstractNumId w:val="4"/>
  </w:num>
  <w:num w:numId="2" w16cid:durableId="1493334417">
    <w:abstractNumId w:val="0"/>
  </w:num>
  <w:num w:numId="3" w16cid:durableId="1906261584">
    <w:abstractNumId w:val="2"/>
  </w:num>
  <w:num w:numId="4" w16cid:durableId="1652714558">
    <w:abstractNumId w:val="3"/>
  </w:num>
  <w:num w:numId="5" w16cid:durableId="33702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9D"/>
    <w:rsid w:val="0015456F"/>
    <w:rsid w:val="001D3FDD"/>
    <w:rsid w:val="0061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00583"/>
  <w15:chartTrackingRefBased/>
  <w15:docId w15:val="{803A6275-0F6A-4A2A-8DD6-9102A84F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F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F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5913</Words>
  <Characters>3371</Characters>
  <Application>Microsoft Office Word</Application>
  <DocSecurity>0</DocSecurity>
  <Lines>28</Lines>
  <Paragraphs>18</Paragraphs>
  <ScaleCrop>false</ScaleCrop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Румянцев</dc:creator>
  <cp:keywords/>
  <dc:description/>
  <cp:lastModifiedBy>Альбіна Волошина</cp:lastModifiedBy>
  <cp:revision>2</cp:revision>
  <dcterms:created xsi:type="dcterms:W3CDTF">2024-03-28T08:29:00Z</dcterms:created>
  <dcterms:modified xsi:type="dcterms:W3CDTF">2024-03-28T08:29:00Z</dcterms:modified>
</cp:coreProperties>
</file>