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626E" w14:textId="419B5E1D" w:rsidR="00604959" w:rsidRPr="00D074AA" w:rsidRDefault="00604959" w:rsidP="00604959">
      <w:pPr>
        <w:rPr>
          <w:b/>
          <w:bCs/>
          <w:sz w:val="48"/>
          <w:szCs w:val="48"/>
        </w:rPr>
      </w:pPr>
      <w:r w:rsidRPr="00D074AA">
        <w:rPr>
          <w:rStyle w:val="Heading1Char"/>
          <w:sz w:val="48"/>
          <w:szCs w:val="48"/>
        </w:rPr>
        <w:t xml:space="preserve">Estimating Partisan </w:t>
      </w:r>
      <w:r>
        <w:rPr>
          <w:rStyle w:val="Heading1Char"/>
          <w:sz w:val="48"/>
          <w:szCs w:val="48"/>
        </w:rPr>
        <w:t>Advantage</w:t>
      </w:r>
    </w:p>
    <w:p w14:paraId="7A1C9BC2" w14:textId="77777777" w:rsidR="00604959" w:rsidRDefault="00604959" w:rsidP="0001675E">
      <w:pPr>
        <w:rPr>
          <w:rStyle w:val="Heading1Char"/>
        </w:rPr>
      </w:pPr>
    </w:p>
    <w:p w14:paraId="2C72EFF9" w14:textId="616851F2" w:rsidR="002C57F3" w:rsidRDefault="002C57F3" w:rsidP="0001675E">
      <w:pPr>
        <w:rPr>
          <w:rStyle w:val="Heading1Char"/>
        </w:rPr>
      </w:pPr>
      <w:r>
        <w:rPr>
          <w:rStyle w:val="Heading1Char"/>
        </w:rPr>
        <w:t>1. Context and Focus</w:t>
      </w:r>
    </w:p>
    <w:p w14:paraId="2EA57C55" w14:textId="410E7753" w:rsidR="002C57F3" w:rsidRPr="002C57F3" w:rsidRDefault="002C57F3" w:rsidP="002C57F3">
      <w:pPr>
        <w:rPr>
          <w:rStyle w:val="Heading1Char"/>
          <w:sz w:val="24"/>
          <w:szCs w:val="24"/>
        </w:rPr>
      </w:pPr>
    </w:p>
    <w:p w14:paraId="15270F23" w14:textId="77777777" w:rsidR="00C93B4B" w:rsidRDefault="00293FCB" w:rsidP="002C57F3">
      <w:pPr>
        <w:rPr>
          <w:rStyle w:val="Heading1Char"/>
          <w:b w:val="0"/>
          <w:bCs w:val="0"/>
          <w:i/>
          <w:iCs/>
          <w:sz w:val="24"/>
          <w:szCs w:val="24"/>
        </w:rPr>
      </w:pPr>
      <w:r w:rsidRPr="00293FCB">
        <w:rPr>
          <w:rStyle w:val="Heading1Char"/>
          <w:b w:val="0"/>
          <w:bCs w:val="0"/>
          <w:i/>
          <w:iCs/>
          <w:sz w:val="24"/>
          <w:szCs w:val="24"/>
        </w:rPr>
        <w:t>[</w:t>
      </w:r>
      <w:r w:rsidR="00C93B4B">
        <w:rPr>
          <w:rStyle w:val="Heading1Char"/>
          <w:b w:val="0"/>
          <w:bCs w:val="0"/>
          <w:i/>
          <w:iCs/>
          <w:sz w:val="24"/>
          <w:szCs w:val="24"/>
        </w:rPr>
        <w:t>This section will:</w:t>
      </w:r>
    </w:p>
    <w:p w14:paraId="3E6AED27" w14:textId="77777777" w:rsidR="00C93B4B" w:rsidRDefault="00C93B4B" w:rsidP="002C57F3">
      <w:pPr>
        <w:rPr>
          <w:rStyle w:val="Heading1Char"/>
          <w:b w:val="0"/>
          <w:bCs w:val="0"/>
          <w:i/>
          <w:iCs/>
          <w:sz w:val="24"/>
          <w:szCs w:val="24"/>
        </w:rPr>
      </w:pPr>
    </w:p>
    <w:p w14:paraId="4C9C23ED" w14:textId="77777777" w:rsidR="00C93B4B" w:rsidRDefault="00C93B4B" w:rsidP="00C93B4B">
      <w:pPr>
        <w:pStyle w:val="ListParagraph"/>
        <w:numPr>
          <w:ilvl w:val="0"/>
          <w:numId w:val="24"/>
        </w:numPr>
        <w:rPr>
          <w:rStyle w:val="Heading1Char"/>
          <w:b w:val="0"/>
          <w:bCs w:val="0"/>
          <w:i/>
          <w:iCs/>
          <w:sz w:val="24"/>
          <w:szCs w:val="24"/>
        </w:rPr>
      </w:pPr>
      <w:r w:rsidRPr="00C93B4B">
        <w:rPr>
          <w:rStyle w:val="Heading1Char"/>
          <w:b w:val="0"/>
          <w:bCs w:val="0"/>
          <w:i/>
          <w:iCs/>
          <w:sz w:val="24"/>
          <w:szCs w:val="24"/>
        </w:rPr>
        <w:t>enumerate a broad cross section of factors one might consider when evaluat</w:t>
      </w:r>
      <w:r>
        <w:rPr>
          <w:rStyle w:val="Heading1Char"/>
          <w:b w:val="0"/>
          <w:bCs w:val="0"/>
          <w:i/>
          <w:iCs/>
          <w:sz w:val="24"/>
          <w:szCs w:val="24"/>
        </w:rPr>
        <w:t>ing how good or bad a redistricting plan is identifying partisan/political considerations as just one of many</w:t>
      </w:r>
    </w:p>
    <w:p w14:paraId="42292BCF" w14:textId="77777777" w:rsidR="00C93B4B" w:rsidRDefault="00C93B4B" w:rsidP="00C93B4B">
      <w:pPr>
        <w:pStyle w:val="ListParagraph"/>
        <w:numPr>
          <w:ilvl w:val="0"/>
          <w:numId w:val="24"/>
        </w:numPr>
        <w:rPr>
          <w:rStyle w:val="Heading1Char"/>
          <w:b w:val="0"/>
          <w:bCs w:val="0"/>
          <w:i/>
          <w:iCs/>
          <w:sz w:val="24"/>
          <w:szCs w:val="24"/>
        </w:rPr>
      </w:pPr>
      <w:r>
        <w:rPr>
          <w:rStyle w:val="Heading1Char"/>
          <w:b w:val="0"/>
          <w:bCs w:val="0"/>
          <w:i/>
          <w:iCs/>
          <w:sz w:val="24"/>
          <w:szCs w:val="24"/>
        </w:rPr>
        <w:t>say that I’m only focused on partisan/political considerations</w:t>
      </w:r>
    </w:p>
    <w:p w14:paraId="4F9BF0E0" w14:textId="77777777" w:rsidR="00C93B4B" w:rsidRDefault="00C93B4B" w:rsidP="00C93B4B">
      <w:pPr>
        <w:pStyle w:val="ListParagraph"/>
        <w:numPr>
          <w:ilvl w:val="0"/>
          <w:numId w:val="24"/>
        </w:numPr>
        <w:rPr>
          <w:rStyle w:val="Heading1Char"/>
          <w:b w:val="0"/>
          <w:bCs w:val="0"/>
          <w:i/>
          <w:iCs/>
          <w:sz w:val="24"/>
          <w:szCs w:val="24"/>
        </w:rPr>
      </w:pPr>
      <w:r>
        <w:rPr>
          <w:rStyle w:val="Heading1Char"/>
          <w:b w:val="0"/>
          <w:bCs w:val="0"/>
          <w:i/>
          <w:iCs/>
          <w:sz w:val="24"/>
          <w:szCs w:val="24"/>
        </w:rPr>
        <w:t>then explain that even w/in that area there are several things to consider, including measures of gerrymandering/packing (declination, lopsided outcomes, and mean–median), bias, and responsiveness</w:t>
      </w:r>
    </w:p>
    <w:p w14:paraId="245C3B95" w14:textId="031F4C5A" w:rsidR="00C93B4B" w:rsidRDefault="00C93B4B" w:rsidP="00C93B4B">
      <w:pPr>
        <w:pStyle w:val="ListParagraph"/>
        <w:numPr>
          <w:ilvl w:val="0"/>
          <w:numId w:val="24"/>
        </w:numPr>
        <w:rPr>
          <w:rStyle w:val="Heading1Char"/>
          <w:b w:val="0"/>
          <w:bCs w:val="0"/>
          <w:i/>
          <w:iCs/>
          <w:sz w:val="24"/>
          <w:szCs w:val="24"/>
        </w:rPr>
      </w:pPr>
      <w:r>
        <w:rPr>
          <w:rStyle w:val="Heading1Char"/>
          <w:b w:val="0"/>
          <w:bCs w:val="0"/>
          <w:i/>
          <w:iCs/>
          <w:sz w:val="24"/>
          <w:szCs w:val="24"/>
        </w:rPr>
        <w:t>say again that I’m only focused on the “bias” subcategory – what I labelled the local and non-local in v1</w:t>
      </w:r>
    </w:p>
    <w:p w14:paraId="62C0D9F5" w14:textId="04C9BA55" w:rsidR="00C9729E" w:rsidRDefault="00C9729E" w:rsidP="00C93B4B">
      <w:pPr>
        <w:pStyle w:val="ListParagraph"/>
        <w:numPr>
          <w:ilvl w:val="0"/>
          <w:numId w:val="24"/>
        </w:numPr>
        <w:rPr>
          <w:rStyle w:val="Heading1Char"/>
          <w:b w:val="0"/>
          <w:bCs w:val="0"/>
          <w:i/>
          <w:iCs/>
          <w:sz w:val="24"/>
          <w:szCs w:val="24"/>
        </w:rPr>
      </w:pPr>
      <w:r>
        <w:rPr>
          <w:rStyle w:val="Heading1Char"/>
          <w:b w:val="0"/>
          <w:bCs w:val="0"/>
          <w:i/>
          <w:iCs/>
          <w:sz w:val="24"/>
          <w:szCs w:val="24"/>
        </w:rPr>
        <w:t xml:space="preserve">but because “bias” and “partisan bias” can have precise meanings to some people in some contexts, I will use the term “partisan advantage” instead.  </w:t>
      </w:r>
    </w:p>
    <w:p w14:paraId="57C63198" w14:textId="77777777" w:rsidR="00C93B4B" w:rsidRPr="00C93B4B" w:rsidRDefault="00C93B4B" w:rsidP="00C93B4B">
      <w:pPr>
        <w:rPr>
          <w:rStyle w:val="Heading1Char"/>
          <w:b w:val="0"/>
          <w:bCs w:val="0"/>
          <w:i/>
          <w:iCs/>
          <w:sz w:val="24"/>
          <w:szCs w:val="24"/>
        </w:rPr>
      </w:pPr>
    </w:p>
    <w:p w14:paraId="63047C86" w14:textId="4EF588D2" w:rsidR="002C57F3" w:rsidRPr="00C93B4B" w:rsidRDefault="00C9729E" w:rsidP="00C93B4B">
      <w:pPr>
        <w:rPr>
          <w:rStyle w:val="Heading1Char"/>
          <w:b w:val="0"/>
          <w:bCs w:val="0"/>
          <w:i/>
          <w:iCs/>
          <w:sz w:val="24"/>
          <w:szCs w:val="24"/>
        </w:rPr>
      </w:pPr>
      <w:proofErr w:type="gramStart"/>
      <w:r>
        <w:rPr>
          <w:rStyle w:val="Heading1Char"/>
          <w:b w:val="0"/>
          <w:bCs w:val="0"/>
          <w:i/>
          <w:iCs/>
          <w:sz w:val="24"/>
          <w:szCs w:val="24"/>
        </w:rPr>
        <w:t>so</w:t>
      </w:r>
      <w:proofErr w:type="gramEnd"/>
      <w:r>
        <w:rPr>
          <w:rStyle w:val="Heading1Char"/>
          <w:b w:val="0"/>
          <w:bCs w:val="0"/>
          <w:i/>
          <w:iCs/>
          <w:sz w:val="24"/>
          <w:szCs w:val="24"/>
        </w:rPr>
        <w:t xml:space="preserve"> we can start Section 2 narrowly focused on that.</w:t>
      </w:r>
      <w:r w:rsidR="00293FCB" w:rsidRPr="00C93B4B">
        <w:rPr>
          <w:rStyle w:val="Heading1Char"/>
          <w:b w:val="0"/>
          <w:bCs w:val="0"/>
          <w:i/>
          <w:iCs/>
          <w:sz w:val="24"/>
          <w:szCs w:val="24"/>
        </w:rPr>
        <w:t>]</w:t>
      </w:r>
    </w:p>
    <w:p w14:paraId="6CFDC0A8" w14:textId="77777777" w:rsidR="002C57F3" w:rsidRPr="002C57F3" w:rsidRDefault="002C57F3" w:rsidP="002C57F3">
      <w:pPr>
        <w:rPr>
          <w:rStyle w:val="Heading1Char"/>
          <w:sz w:val="24"/>
          <w:szCs w:val="24"/>
        </w:rPr>
      </w:pPr>
    </w:p>
    <w:p w14:paraId="234E20D2" w14:textId="6DB7A5B6" w:rsidR="00FF0949" w:rsidRPr="00614413" w:rsidRDefault="002C57F3" w:rsidP="0001675E">
      <w:pPr>
        <w:rPr>
          <w:b/>
          <w:bCs/>
        </w:rPr>
      </w:pPr>
      <w:r>
        <w:rPr>
          <w:rStyle w:val="Heading1Char"/>
        </w:rPr>
        <w:t>2</w:t>
      </w:r>
      <w:r w:rsidR="00801201">
        <w:rPr>
          <w:rStyle w:val="Heading1Char"/>
        </w:rPr>
        <w:t>.</w:t>
      </w:r>
      <w:r w:rsidR="00113E7F">
        <w:rPr>
          <w:rStyle w:val="Heading1Char"/>
        </w:rPr>
        <w:t xml:space="preserve"> </w:t>
      </w:r>
      <w:r w:rsidR="006B3D5B">
        <w:rPr>
          <w:rStyle w:val="Heading1Char"/>
        </w:rPr>
        <w:t>[</w:t>
      </w:r>
      <w:commentRangeStart w:id="0"/>
      <w:r w:rsidR="006B3D5B">
        <w:rPr>
          <w:rStyle w:val="Heading1Char"/>
        </w:rPr>
        <w:t>Framework</w:t>
      </w:r>
      <w:commentRangeEnd w:id="0"/>
      <w:r w:rsidR="006746EE">
        <w:rPr>
          <w:rStyle w:val="CommentReference"/>
        </w:rPr>
        <w:commentReference w:id="0"/>
      </w:r>
      <w:r w:rsidR="006B3D5B">
        <w:rPr>
          <w:rStyle w:val="Heading1Char"/>
        </w:rPr>
        <w:t>]</w:t>
      </w:r>
    </w:p>
    <w:p w14:paraId="1BC6B69D" w14:textId="74F1DE9F" w:rsidR="00A95F93" w:rsidRDefault="00A95F93" w:rsidP="0001675E"/>
    <w:p w14:paraId="674B0DDC" w14:textId="77777777" w:rsidR="00E1559E" w:rsidRDefault="00F01574" w:rsidP="0001675E">
      <w:pPr>
        <w:rPr>
          <w:i/>
          <w:iCs/>
        </w:rPr>
      </w:pPr>
      <w:r w:rsidRPr="00F01574">
        <w:rPr>
          <w:i/>
          <w:iCs/>
        </w:rPr>
        <w:t>[</w:t>
      </w:r>
      <w:r>
        <w:rPr>
          <w:i/>
          <w:iCs/>
        </w:rPr>
        <w:t>This draft section consolidates the concepts in previous Sections 1 (Definition of Partisan Bias), Appendix A (</w:t>
      </w:r>
      <w:r w:rsidRPr="00F01574">
        <w:rPr>
          <w:i/>
          <w:iCs/>
        </w:rPr>
        <w:t>Interpreting the Efficiency Gap &amp; Gamma</w:t>
      </w:r>
      <w:r>
        <w:rPr>
          <w:i/>
          <w:iCs/>
        </w:rPr>
        <w:t>), and Appendix B (</w:t>
      </w:r>
      <w:r w:rsidRPr="00F01574">
        <w:rPr>
          <w:i/>
          <w:iCs/>
        </w:rPr>
        <w:t>Classifying Seats–Votes Curves</w:t>
      </w:r>
      <w:r>
        <w:rPr>
          <w:i/>
          <w:iCs/>
        </w:rPr>
        <w:t>) as a framework for analyzing the 2012, 2020, and hypothetical plans in Sections 3–5.</w:t>
      </w:r>
    </w:p>
    <w:p w14:paraId="7F8BB34A" w14:textId="77777777" w:rsidR="00E1559E" w:rsidRDefault="00E1559E" w:rsidP="0001675E">
      <w:pPr>
        <w:rPr>
          <w:i/>
          <w:iCs/>
        </w:rPr>
      </w:pPr>
    </w:p>
    <w:p w14:paraId="7DF671F1" w14:textId="5F69EE5C" w:rsidR="006207EA" w:rsidRPr="00F01574" w:rsidRDefault="00E1559E" w:rsidP="0001675E">
      <w:pPr>
        <w:rPr>
          <w:i/>
          <w:iCs/>
        </w:rPr>
      </w:pPr>
      <w:r>
        <w:rPr>
          <w:i/>
          <w:iCs/>
        </w:rPr>
        <w:t xml:space="preserve">This is still incomplete and rough. </w:t>
      </w:r>
      <w:r w:rsidR="009A1FBD">
        <w:rPr>
          <w:i/>
          <w:iCs/>
        </w:rPr>
        <w:t xml:space="preserve">I’m just trying to sketch out the main ideas. </w:t>
      </w:r>
      <w:r>
        <w:rPr>
          <w:i/>
          <w:iCs/>
        </w:rPr>
        <w:t xml:space="preserve">Ellipses (…) are where I </w:t>
      </w:r>
      <w:r w:rsidR="009A1FBD">
        <w:rPr>
          <w:i/>
          <w:iCs/>
        </w:rPr>
        <w:t xml:space="preserve">will </w:t>
      </w:r>
      <w:r>
        <w:rPr>
          <w:i/>
          <w:iCs/>
        </w:rPr>
        <w:t>probably</w:t>
      </w:r>
      <w:r w:rsidR="009A1FBD">
        <w:rPr>
          <w:i/>
          <w:iCs/>
        </w:rPr>
        <w:t xml:space="preserve"> add/add back content.</w:t>
      </w:r>
      <w:r w:rsidR="00F01574" w:rsidRPr="00F01574">
        <w:rPr>
          <w:i/>
          <w:iCs/>
        </w:rPr>
        <w:t>]</w:t>
      </w:r>
    </w:p>
    <w:p w14:paraId="3C118B60" w14:textId="77777777" w:rsidR="006207EA" w:rsidRDefault="006207EA" w:rsidP="0001675E"/>
    <w:p w14:paraId="41DBDF71" w14:textId="1D65FD7D" w:rsidR="006207EA" w:rsidRDefault="002C57F3" w:rsidP="006207EA">
      <w:pPr>
        <w:pStyle w:val="Heading2"/>
      </w:pPr>
      <w:r>
        <w:t>2</w:t>
      </w:r>
      <w:r w:rsidR="006207EA">
        <w:t>.1. Definition of Partisan Advantage</w:t>
      </w:r>
    </w:p>
    <w:p w14:paraId="4A4195CA" w14:textId="77777777" w:rsidR="006207EA" w:rsidRDefault="006207EA" w:rsidP="0001675E"/>
    <w:p w14:paraId="1186BFFD" w14:textId="67C2ACF2" w:rsidR="002F45D3" w:rsidRDefault="00402877" w:rsidP="00183E17">
      <w:r>
        <w:t>…</w:t>
      </w:r>
    </w:p>
    <w:p w14:paraId="403F54C1" w14:textId="77777777" w:rsidR="002F45D3" w:rsidRDefault="002F45D3" w:rsidP="00183E17"/>
    <w:p w14:paraId="44052141" w14:textId="642104AC" w:rsidR="003143DF" w:rsidRPr="00DA5D37" w:rsidRDefault="00AF57DA" w:rsidP="002F45D3">
      <w:pPr>
        <w:ind w:left="720"/>
        <w:rPr>
          <w:i/>
          <w:iCs/>
        </w:rPr>
      </w:pPr>
      <w:r>
        <w:rPr>
          <w:i/>
          <w:iCs/>
        </w:rPr>
        <w:t xml:space="preserve">Partisan </w:t>
      </w:r>
      <w:r w:rsidR="00402877">
        <w:rPr>
          <w:i/>
          <w:iCs/>
        </w:rPr>
        <w:t>advantage</w:t>
      </w:r>
      <w:r w:rsidR="002F45D3" w:rsidRPr="00DA5D37">
        <w:rPr>
          <w:i/>
          <w:iCs/>
        </w:rPr>
        <w:t xml:space="preserve"> is the difference between the </w:t>
      </w:r>
      <w:r w:rsidR="00402877">
        <w:rPr>
          <w:i/>
          <w:iCs/>
        </w:rPr>
        <w:t>ideal</w:t>
      </w:r>
      <w:r w:rsidR="002F45D3" w:rsidRPr="00DA5D37">
        <w:rPr>
          <w:i/>
          <w:iCs/>
        </w:rPr>
        <w:t xml:space="preserve"> and </w:t>
      </w:r>
      <w:r w:rsidR="00402877">
        <w:rPr>
          <w:i/>
          <w:iCs/>
        </w:rPr>
        <w:t>actual</w:t>
      </w:r>
      <w:r w:rsidR="002F45D3" w:rsidRPr="00DA5D37">
        <w:rPr>
          <w:i/>
          <w:iCs/>
        </w:rPr>
        <w:t xml:space="preserve"> seat shares.</w:t>
      </w:r>
    </w:p>
    <w:p w14:paraId="23E616B5" w14:textId="13E324C4" w:rsidR="003143DF" w:rsidRDefault="003143DF" w:rsidP="00183E17"/>
    <w:p w14:paraId="653F0571" w14:textId="19F2619B" w:rsidR="00183E17" w:rsidRDefault="00402877" w:rsidP="00183E17">
      <w:r>
        <w:t>…</w:t>
      </w:r>
    </w:p>
    <w:p w14:paraId="5BA86C14" w14:textId="77777777" w:rsidR="00972C47" w:rsidRDefault="00972C47" w:rsidP="00183E17"/>
    <w:p w14:paraId="73DF1183" w14:textId="2C839E09" w:rsidR="00BC0805" w:rsidRDefault="00D56C36" w:rsidP="00BC0805">
      <w:r>
        <w:lastRenderedPageBreak/>
        <w:t>To formalize this, c</w:t>
      </w:r>
      <w:r w:rsidR="00BC0805">
        <w:t xml:space="preserve">all the </w:t>
      </w:r>
      <w:r w:rsidR="009D4054">
        <w:t xml:space="preserve">ideal </w:t>
      </w:r>
      <w:r w:rsidR="00BC0805">
        <w:t xml:space="preserve">seats–votes relationship </w:t>
      </w:r>
      <m:oMath>
        <m:r>
          <w:rPr>
            <w:rFonts w:ascii="Cambria Math" w:hAnsi="Cambria Math"/>
          </w:rPr>
          <m:t>S(V)</m:t>
        </m:r>
      </m:oMath>
      <w:r w:rsidR="00402877">
        <w:t xml:space="preserve">, </w:t>
      </w:r>
      <w:r w:rsidR="00533520">
        <w:t>where</w:t>
      </w:r>
      <w:r w:rsidR="00BC0805">
        <w:t xml:space="preserve"> </w:t>
      </w:r>
      <m:oMath>
        <m:r>
          <w:rPr>
            <w:rFonts w:ascii="Cambria Math" w:hAnsi="Cambria Math"/>
          </w:rPr>
          <m:t>V</m:t>
        </m:r>
      </m:oMath>
      <w:r w:rsidR="00BC0805">
        <w:t xml:space="preserve"> and</w:t>
      </w:r>
      <w:r w:rsidR="00A579B0">
        <w:t xml:space="preserve"> the resulting</w:t>
      </w:r>
      <w:r w:rsidR="00BC0805">
        <w:t xml:space="preserve"> </w:t>
      </w:r>
      <m:oMath>
        <m:r>
          <w:rPr>
            <w:rFonts w:ascii="Cambria Math" w:hAnsi="Cambria Math"/>
          </w:rPr>
          <m:t>S</m:t>
        </m:r>
      </m:oMath>
      <w:r w:rsidR="00BC0805">
        <w:t xml:space="preserve"> are the two-party D</w:t>
      </w:r>
      <w:r w:rsidR="00167225">
        <w:t>emocratic</w:t>
      </w:r>
      <w:r w:rsidR="00BC0805">
        <w:t xml:space="preserve"> vote share and seat share, respectively.</w:t>
      </w:r>
      <w:r w:rsidR="00167225">
        <w:rPr>
          <w:rStyle w:val="FootnoteReference"/>
        </w:rPr>
        <w:footnoteReference w:id="1"/>
      </w:r>
      <w:r w:rsidR="00A507D9">
        <w:t xml:space="preserve"> As you will see </w:t>
      </w:r>
      <w:r w:rsidR="00A579B0">
        <w:t>below</w:t>
      </w:r>
      <w:r w:rsidR="00A507D9">
        <w:t xml:space="preserve">, there are many candidates for </w:t>
      </w:r>
      <w:r w:rsidR="00BD1A78">
        <w:t>this</w:t>
      </w:r>
      <w:r w:rsidR="00A507D9">
        <w:t xml:space="preserve"> expected seats-votes function.</w:t>
      </w:r>
      <w:r w:rsidR="00BB32A7">
        <w:rPr>
          <w:rStyle w:val="FootnoteReference"/>
        </w:rPr>
        <w:footnoteReference w:id="2"/>
      </w:r>
    </w:p>
    <w:p w14:paraId="2E7CABBC" w14:textId="77777777" w:rsidR="00BC0805" w:rsidRDefault="00BC0805" w:rsidP="00BC0805"/>
    <w:p w14:paraId="12AB9771" w14:textId="26D305B1" w:rsidR="00BC0805" w:rsidRDefault="00BC0805" w:rsidP="00BC0805">
      <w:r>
        <w:t xml:space="preserve">Similarly, call the </w:t>
      </w:r>
      <w:r w:rsidR="00C97CB7">
        <w:t>actual</w:t>
      </w:r>
      <w:r w:rsidR="00A579B0">
        <w:t xml:space="preserve"> </w:t>
      </w:r>
      <w:r>
        <w:t xml:space="preserve">seats–votes </w:t>
      </w:r>
      <w:r w:rsidR="00A579B0">
        <w:t>results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A579B0"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A579B0">
        <w:t>, the statewide vote share</w:t>
      </w:r>
      <w:r w:rsidR="00DE1D5D">
        <w:rPr>
          <w:rStyle w:val="FootnoteReference"/>
        </w:rPr>
        <w:footnoteReference w:id="3"/>
      </w:r>
      <w:r w:rsidR="00A579B0">
        <w:t xml:space="preserve"> and the resulting seat share, respectively.</w:t>
      </w:r>
    </w:p>
    <w:p w14:paraId="52F660A5" w14:textId="77777777" w:rsidR="00FD3225" w:rsidRDefault="00FD3225" w:rsidP="00BC0805"/>
    <w:p w14:paraId="5B2575B7" w14:textId="78C88E64" w:rsidR="00BC0805" w:rsidRDefault="0066710B" w:rsidP="00BC0805">
      <w:r>
        <w:t xml:space="preserve">In </w:t>
      </w:r>
      <w:r w:rsidR="00F3436E">
        <w:t>practical</w:t>
      </w:r>
      <w:r>
        <w:t xml:space="preserve"> terms, </w:t>
      </w:r>
      <w:r w:rsidR="00DE1D5D">
        <w:t>partisan advantage</w:t>
      </w:r>
      <w:r w:rsidR="00DB4E8C">
        <w:t xml:space="preserve"> is</w:t>
      </w:r>
      <w:r w:rsidR="00533520">
        <w:t xml:space="preserve"> </w:t>
      </w:r>
      <w:r w:rsidR="005D534B">
        <w:t xml:space="preserve">simply </w:t>
      </w:r>
      <w:r w:rsidR="003876B6">
        <w:t xml:space="preserve">the difference </w:t>
      </w:r>
      <w:r w:rsidR="00533520">
        <w:t>between these two</w:t>
      </w:r>
      <w:r w:rsidR="00BC0805">
        <w:t>:</w:t>
      </w:r>
    </w:p>
    <w:p w14:paraId="7A309609" w14:textId="0633B49A" w:rsidR="00D56C36" w:rsidRDefault="00BC0805" w:rsidP="00D56C36">
      <w:pPr>
        <w:pStyle w:val="Equation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) 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</w:t>
      </w:r>
      <w:r w:rsidR="003876B6">
        <w:tab/>
        <w:t>(</w:t>
      </w:r>
      <w:r w:rsidR="00DE1D5D">
        <w:t>1</w:t>
      </w:r>
      <w:r w:rsidR="003876B6">
        <w:t>)</w:t>
      </w:r>
    </w:p>
    <w:p w14:paraId="524EBBC2" w14:textId="011E689C" w:rsidR="00DC19C4" w:rsidRDefault="005D534B" w:rsidP="00DC19C4">
      <w:r>
        <w:t xml:space="preserve">In other words, </w:t>
      </w:r>
      <w:r w:rsidR="00DE1D5D">
        <w:t>partisan advantage</w:t>
      </w:r>
      <w:r w:rsidR="007C7216">
        <w:t xml:space="preserve"> </w:t>
      </w:r>
      <w:r w:rsidR="0037209B">
        <w:t xml:space="preserve">is the difference between the share of seats that </w:t>
      </w:r>
      <w:r w:rsidR="0037209B" w:rsidRPr="0066710B">
        <w:rPr>
          <w:i/>
          <w:iCs/>
        </w:rPr>
        <w:t>should</w:t>
      </w:r>
      <w:r w:rsidR="0037209B">
        <w:t xml:space="preserve"> be </w:t>
      </w:r>
      <w:proofErr w:type="gramStart"/>
      <w:r w:rsidR="0037209B">
        <w:t>won</w:t>
      </w:r>
      <w:proofErr w:type="gramEnd"/>
      <w:r w:rsidR="0037209B">
        <w:t xml:space="preserve"> and the share of seats </w:t>
      </w:r>
      <w:r w:rsidR="00DE1D5D" w:rsidRPr="00DC19C4">
        <w:rPr>
          <w:i/>
          <w:iCs/>
        </w:rPr>
        <w:t>actually</w:t>
      </w:r>
      <w:r w:rsidR="00DE1D5D">
        <w:t xml:space="preserve"> </w:t>
      </w:r>
      <w:r w:rsidR="0037209B">
        <w:t>won.</w:t>
      </w:r>
      <w:r w:rsidR="00DC19C4">
        <w:t xml:space="preserve"> </w:t>
      </w:r>
      <w:r w:rsidR="00F902CA">
        <w:t>Note: One can use</w:t>
      </w:r>
      <w:r w:rsidR="00DC19C4">
        <w:t xml:space="preserve"> a composite of prior elections</w:t>
      </w:r>
      <w:r w:rsidR="00F902CA">
        <w:t xml:space="preserve"> – and the resulting statewide vote share and the district-by-district vote shares – </w:t>
      </w:r>
      <w:r w:rsidR="00DC19C4">
        <w:t>as a proxy for a not-yet-held election</w:t>
      </w:r>
      <w:r w:rsidR="00F902CA">
        <w:t xml:space="preserve"> to</w:t>
      </w:r>
      <w:r w:rsidR="00DC19C4">
        <w:t xml:space="preserve"> infer the </w:t>
      </w:r>
      <w:r w:rsidR="00DC19C4" w:rsidRPr="00DC19C4">
        <w:rPr>
          <w:i/>
          <w:iCs/>
        </w:rPr>
        <w:t>likely</w:t>
      </w:r>
      <w:r w:rsidR="00DC19C4">
        <w:t xml:space="preserve"> seats–votes curve </w:t>
      </w:r>
      <w:r w:rsidR="00F902CA">
        <w:t xml:space="preserve">and use that to estimate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F902CA"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DC19C4">
        <w:t>.</w:t>
      </w:r>
      <w:r w:rsidR="00DC19C4">
        <w:rPr>
          <w:rStyle w:val="FootnoteReference"/>
        </w:rPr>
        <w:footnoteReference w:id="4"/>
      </w:r>
    </w:p>
    <w:p w14:paraId="42542785" w14:textId="317CE72B" w:rsidR="008168AF" w:rsidRDefault="008168AF" w:rsidP="0001675E"/>
    <w:p w14:paraId="680F9306" w14:textId="1D33378E" w:rsidR="008A606C" w:rsidRDefault="00DE1D5D" w:rsidP="0001675E">
      <w:r>
        <w:t>…</w:t>
      </w:r>
    </w:p>
    <w:p w14:paraId="50E6FAC8" w14:textId="081CAED5" w:rsidR="006E2CC1" w:rsidRDefault="006E2CC1" w:rsidP="0001675E"/>
    <w:p w14:paraId="4F6BC365" w14:textId="6ACC79C1" w:rsidR="006207EA" w:rsidRDefault="002C57F3" w:rsidP="006207EA">
      <w:pPr>
        <w:pStyle w:val="Heading2"/>
      </w:pPr>
      <w:r>
        <w:t>2</w:t>
      </w:r>
      <w:r w:rsidR="006207EA">
        <w:t xml:space="preserve">.2. </w:t>
      </w:r>
      <w:r w:rsidR="006746EE">
        <w:t xml:space="preserve">Properties of Measures </w:t>
      </w:r>
    </w:p>
    <w:p w14:paraId="05F2FB4D" w14:textId="77777777" w:rsidR="006207EA" w:rsidRDefault="006207EA" w:rsidP="0001675E"/>
    <w:p w14:paraId="440D2915" w14:textId="46081653" w:rsidR="006803DD" w:rsidRDefault="006803DD" w:rsidP="0001675E">
      <w:r>
        <w:t xml:space="preserve">We </w:t>
      </w:r>
      <w:r w:rsidRPr="006803DD">
        <w:t xml:space="preserve">wish to find </w:t>
      </w:r>
      <w:r w:rsidR="00F6518C">
        <w:t>measures</w:t>
      </w:r>
      <w:r w:rsidRPr="006803DD">
        <w:t xml:space="preserve"> of </w:t>
      </w:r>
      <w:r w:rsidR="00315FA9">
        <w:t>partisan advantage</w:t>
      </w:r>
      <w:r w:rsidRPr="006803DD">
        <w:t xml:space="preserve"> that respect </w:t>
      </w:r>
      <w:r w:rsidR="00315FA9">
        <w:t xml:space="preserve">the following </w:t>
      </w:r>
      <w:commentRangeStart w:id="1"/>
      <w:r w:rsidR="00315FA9">
        <w:t>p</w:t>
      </w:r>
      <w:r w:rsidR="006746EE">
        <w:t>ropertie</w:t>
      </w:r>
      <w:r w:rsidR="00315FA9">
        <w:t>s</w:t>
      </w:r>
      <w:commentRangeEnd w:id="1"/>
      <w:r w:rsidR="00654550">
        <w:rPr>
          <w:rStyle w:val="CommentReference"/>
        </w:rPr>
        <w:commentReference w:id="1"/>
      </w:r>
      <w:r w:rsidR="00315FA9">
        <w:t>:</w:t>
      </w:r>
    </w:p>
    <w:p w14:paraId="3E9A5B37" w14:textId="42AA1D61" w:rsidR="00F438D3" w:rsidRDefault="00F438D3" w:rsidP="0001675E"/>
    <w:p w14:paraId="1335E842" w14:textId="16DE13FB" w:rsidR="00F438D3" w:rsidRPr="006746EE" w:rsidRDefault="006746EE" w:rsidP="00F438D3">
      <w:pPr>
        <w:pStyle w:val="ListParagraph"/>
        <w:numPr>
          <w:ilvl w:val="0"/>
          <w:numId w:val="19"/>
        </w:numPr>
      </w:pPr>
      <w:r w:rsidRPr="006746EE">
        <w:t>Property</w:t>
      </w:r>
      <w:r w:rsidR="00F438D3" w:rsidRPr="006746EE">
        <w:t xml:space="preserve"> </w:t>
      </w:r>
      <w:r w:rsidRPr="006746EE">
        <w:t>1</w:t>
      </w:r>
      <w:r w:rsidR="00F438D3" w:rsidRPr="006746EE">
        <w:t xml:space="preserve">: </w:t>
      </w:r>
      <w:r w:rsidR="0090700E">
        <w:t>The unit of measure is a difference of seat shares.</w:t>
      </w:r>
      <w:r w:rsidR="0090700E">
        <w:rPr>
          <w:rStyle w:val="FootnoteReference"/>
        </w:rPr>
        <w:footnoteReference w:id="5"/>
      </w:r>
      <w:r w:rsidR="00DA2D04">
        <w:br/>
      </w:r>
      <w:r w:rsidR="00DA2D04">
        <w:br/>
        <w:t xml:space="preserve">Metrics that don’t </w:t>
      </w:r>
      <w:r w:rsidR="0002472B">
        <w:t>compare</w:t>
      </w:r>
      <w:r w:rsidR="00DA2D04">
        <w:t xml:space="preserve"> the difference betwee</w:t>
      </w:r>
      <w:r w:rsidR="0002472B">
        <w:t>n</w:t>
      </w:r>
      <w:r w:rsidR="00DA2D04">
        <w:t xml:space="preserve"> actual seat shares</w:t>
      </w:r>
      <w:r w:rsidR="0002472B">
        <w:t xml:space="preserve"> and some ideal</w:t>
      </w:r>
      <w:r w:rsidR="00DA2D04">
        <w:t xml:space="preserve"> </w:t>
      </w:r>
      <w:r w:rsidR="0049048E">
        <w:t>measure some other aspect of a plan, but they don’t measure partisan advantage directly.</w:t>
      </w:r>
    </w:p>
    <w:p w14:paraId="3F22323C" w14:textId="1DEDFF9E" w:rsidR="00315FA9" w:rsidRDefault="00315FA9" w:rsidP="0001675E"/>
    <w:p w14:paraId="7E72FF52" w14:textId="62B9D5B3" w:rsidR="00315FA9" w:rsidRDefault="0090700E" w:rsidP="00315FA9">
      <w:pPr>
        <w:pStyle w:val="ListParagraph"/>
        <w:numPr>
          <w:ilvl w:val="0"/>
          <w:numId w:val="19"/>
        </w:numPr>
      </w:pPr>
      <w:r>
        <w:t>Property</w:t>
      </w:r>
      <w:r w:rsidR="00315FA9">
        <w:t xml:space="preserve"> </w:t>
      </w:r>
      <w:r>
        <w:t>2</w:t>
      </w:r>
      <w:r w:rsidR="00315FA9">
        <w:t>: Super-proportional</w:t>
      </w:r>
      <w:r w:rsidR="002E7ED0">
        <w:t xml:space="preserve"> outcomes</w:t>
      </w:r>
      <w:r w:rsidR="00315FA9">
        <w:t xml:space="preserve"> </w:t>
      </w:r>
      <w:r w:rsidR="002E7ED0">
        <w:t>can’t favor the minority party.</w:t>
      </w:r>
    </w:p>
    <w:p w14:paraId="1CB9D624" w14:textId="77777777" w:rsidR="00315FA9" w:rsidRDefault="00315FA9" w:rsidP="00315FA9"/>
    <w:p w14:paraId="2058E58B" w14:textId="48630D1C" w:rsidR="00315FA9" w:rsidRDefault="00315FA9" w:rsidP="00315FA9">
      <w:pPr>
        <w:pStyle w:val="ListParagraph"/>
        <w:numPr>
          <w:ilvl w:val="0"/>
          <w:numId w:val="15"/>
        </w:numPr>
        <w:ind w:left="1080"/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&gt;0.5</m:t>
        </m:r>
      </m:oMath>
      <w: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&gt;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F912B6">
        <w:t xml:space="preserve">, </w:t>
      </w:r>
      <w:r>
        <w:t xml:space="preserve">a valid measure of </w:t>
      </w:r>
      <w:r w:rsidR="000F2B5F">
        <w:t>partisan advantage</w:t>
      </w:r>
      <w:r>
        <w:t xml:space="preserve"> will not indicate that the plan favor</w:t>
      </w:r>
      <w:r w:rsidR="00F912B6">
        <w:t>s</w:t>
      </w:r>
      <w:r>
        <w:t xml:space="preserve"> Republicans.</w:t>
      </w:r>
      <w:r>
        <w:rPr>
          <w:rStyle w:val="FootnoteReference"/>
        </w:rPr>
        <w:footnoteReference w:id="6"/>
      </w:r>
    </w:p>
    <w:p w14:paraId="5466B802" w14:textId="79FFAB4D" w:rsidR="001248B9" w:rsidRDefault="00315FA9" w:rsidP="001F2190">
      <w:pPr>
        <w:pStyle w:val="ListParagraph"/>
        <w:numPr>
          <w:ilvl w:val="0"/>
          <w:numId w:val="15"/>
        </w:numPr>
        <w:ind w:left="1080"/>
      </w:pPr>
      <w:r>
        <w:t xml:space="preserve">Similarly, if </w:t>
      </w:r>
      <m:oMath>
        <m:r>
          <w:rPr>
            <w:rFonts w:ascii="Cambria Math" w:hAnsi="Cambria Math"/>
          </w:rPr>
          <m:t>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&gt;0.5</m:t>
        </m:r>
      </m:oMath>
      <w:r>
        <w:t xml:space="preserve"> and </w:t>
      </w:r>
      <m:oMath>
        <m:r>
          <w:rPr>
            <w:rFonts w:ascii="Cambria Math" w:hAnsi="Cambria Math"/>
          </w:rPr>
          <m:t>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&gt;1-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F912B6">
        <w:t xml:space="preserve">, </w:t>
      </w:r>
      <w:r>
        <w:t xml:space="preserve">a valid measure of </w:t>
      </w:r>
      <w:r w:rsidR="000F2B5F">
        <w:t>partisan advantage</w:t>
      </w:r>
      <w:r>
        <w:t xml:space="preserve"> will not indicate that the plan </w:t>
      </w:r>
      <w:r w:rsidR="00F912B6">
        <w:t>favors</w:t>
      </w:r>
      <w:r>
        <w:t xml:space="preserve"> Democrats.</w:t>
      </w:r>
    </w:p>
    <w:p w14:paraId="00E665AE" w14:textId="77777777" w:rsidR="0090700E" w:rsidRDefault="0090700E" w:rsidP="00315FA9">
      <w:pPr>
        <w:ind w:left="720"/>
      </w:pPr>
    </w:p>
    <w:p w14:paraId="44B2B65B" w14:textId="21D786F9" w:rsidR="001248B9" w:rsidRDefault="001248B9" w:rsidP="00315FA9">
      <w:pPr>
        <w:ind w:left="720"/>
      </w:pPr>
      <w:r>
        <w:t>In graphical terms, what this means in Fig. 1 is that a valid measure of partisan advantage can’t classify points D1 or D2 as favoring Republicans or points R1 or R2 as favoring Democrats.</w:t>
      </w:r>
    </w:p>
    <w:p w14:paraId="4C00A82E" w14:textId="657517A7" w:rsidR="00A77BE1" w:rsidRDefault="00253862" w:rsidP="00253862">
      <w:pPr>
        <w:jc w:val="center"/>
      </w:pPr>
      <w:r w:rsidRPr="00253862">
        <w:rPr>
          <w:noProof/>
        </w:rPr>
        <w:drawing>
          <wp:inline distT="0" distB="0" distL="0" distR="0" wp14:anchorId="380D2487" wp14:editId="6B3F1626">
            <wp:extent cx="3479800" cy="33274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2EA8" w14:textId="33404A02" w:rsidR="00A77BE1" w:rsidRPr="00A77BE1" w:rsidRDefault="001248B9" w:rsidP="00CD3A2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Fig. 1. </w:t>
      </w:r>
      <w:r w:rsidR="001D13F3">
        <w:rPr>
          <w:sz w:val="20"/>
          <w:szCs w:val="20"/>
        </w:rPr>
        <w:t>S</w:t>
      </w:r>
      <w:r w:rsidR="00253862">
        <w:rPr>
          <w:sz w:val="20"/>
          <w:szCs w:val="20"/>
        </w:rPr>
        <w:t>(</w:t>
      </w:r>
      <w:r w:rsidR="001D13F3">
        <w:rPr>
          <w:sz w:val="20"/>
          <w:szCs w:val="20"/>
        </w:rPr>
        <w:t>V</w:t>
      </w:r>
      <w:r w:rsidR="00253862">
        <w:rPr>
          <w:sz w:val="20"/>
          <w:szCs w:val="20"/>
        </w:rPr>
        <w:t>) space</w:t>
      </w:r>
      <w:r w:rsidR="000035CF">
        <w:rPr>
          <w:sz w:val="20"/>
          <w:szCs w:val="20"/>
        </w:rPr>
        <w:t xml:space="preserve"> with 2-proportionality ideal</w:t>
      </w:r>
      <w:r w:rsidR="001D13F3">
        <w:rPr>
          <w:sz w:val="20"/>
          <w:szCs w:val="20"/>
        </w:rPr>
        <w:t xml:space="preserve"> (dashed line)</w:t>
      </w:r>
    </w:p>
    <w:p w14:paraId="223E6CCA" w14:textId="2491E1FF" w:rsidR="00021432" w:rsidRDefault="00021432" w:rsidP="0001675E"/>
    <w:p w14:paraId="47E09966" w14:textId="17CAE343" w:rsidR="001F2190" w:rsidRDefault="001F2190" w:rsidP="001F2190">
      <w:pPr>
        <w:ind w:left="720"/>
      </w:pPr>
      <w:r>
        <w:t>Plans where a party get</w:t>
      </w:r>
      <w:r w:rsidR="0090700E">
        <w:t>s</w:t>
      </w:r>
      <w:r>
        <w:t xml:space="preserve"> more than half the seats when they receive more than half the votes may or may not be considered biased in favor of that party </w:t>
      </w:r>
      <w:r>
        <w:rPr>
          <w:i/>
          <w:iCs/>
        </w:rPr>
        <w:t xml:space="preserve">depending on which ideal </w:t>
      </w:r>
      <m:oMath>
        <m:r>
          <w:rPr>
            <w:rFonts w:ascii="Cambria Math" w:hAnsi="Cambria Math"/>
          </w:rPr>
          <m:t>S(V)</m:t>
        </m:r>
      </m:oMath>
      <w:r>
        <w:rPr>
          <w:i/>
          <w:iCs/>
        </w:rPr>
        <w:t xml:space="preserve"> function you choose.</w:t>
      </w:r>
      <w:r>
        <w:t xml:space="preserve"> More on that below.</w:t>
      </w:r>
    </w:p>
    <w:p w14:paraId="62F0B870" w14:textId="77777777" w:rsidR="001F2190" w:rsidRDefault="001F2190" w:rsidP="0001675E"/>
    <w:p w14:paraId="67C8C88C" w14:textId="2EE5F989" w:rsidR="00021432" w:rsidRDefault="0090700E" w:rsidP="008A606C">
      <w:pPr>
        <w:pStyle w:val="ListParagraph"/>
        <w:numPr>
          <w:ilvl w:val="0"/>
          <w:numId w:val="19"/>
        </w:numPr>
      </w:pPr>
      <w:r>
        <w:t>Property 3</w:t>
      </w:r>
      <w:r w:rsidR="00315FA9">
        <w:t>:</w:t>
      </w:r>
      <w:r w:rsidR="00021432">
        <w:t xml:space="preserve"> </w:t>
      </w:r>
      <w:r w:rsidR="00315FA9">
        <w:t>Sub-proportional</w:t>
      </w:r>
      <w:r w:rsidR="002E7ED0">
        <w:t xml:space="preserve"> outcomes favor the minority party.</w:t>
      </w:r>
      <w:r w:rsidR="000219A4">
        <w:rPr>
          <w:rStyle w:val="FootnoteReference"/>
        </w:rPr>
        <w:footnoteReference w:id="7"/>
      </w:r>
    </w:p>
    <w:p w14:paraId="521BCB43" w14:textId="61E9A8A8" w:rsidR="00021432" w:rsidRDefault="00021432" w:rsidP="0001675E"/>
    <w:p w14:paraId="0DE4F953" w14:textId="4B4F06E8" w:rsidR="00124973" w:rsidRDefault="00124973" w:rsidP="008A606C">
      <w:pPr>
        <w:pStyle w:val="ListParagraph"/>
        <w:numPr>
          <w:ilvl w:val="0"/>
          <w:numId w:val="17"/>
        </w:numPr>
        <w:ind w:left="1080"/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&gt;0.5</m:t>
        </m:r>
      </m:oMath>
      <w: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&lt;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0F2B5F">
        <w:t>,</w:t>
      </w:r>
      <w:r>
        <w:t xml:space="preserve"> a valid measure of </w:t>
      </w:r>
      <w:r w:rsidR="00AB73B6">
        <w:t>partisan advantage</w:t>
      </w:r>
      <w:r>
        <w:t xml:space="preserve"> will indicate that the plan </w:t>
      </w:r>
      <w:r w:rsidR="00AB73B6">
        <w:t>favors</w:t>
      </w:r>
      <w:r>
        <w:t xml:space="preserve"> Republicans.</w:t>
      </w:r>
    </w:p>
    <w:p w14:paraId="4EC46E68" w14:textId="01900268" w:rsidR="00124973" w:rsidRDefault="00061311" w:rsidP="008A606C">
      <w:pPr>
        <w:pStyle w:val="ListParagraph"/>
        <w:numPr>
          <w:ilvl w:val="0"/>
          <w:numId w:val="17"/>
        </w:numPr>
        <w:ind w:left="1080"/>
      </w:pPr>
      <w:r>
        <w:t>Similarly, if</w:t>
      </w:r>
      <w:r w:rsidR="00124973">
        <w:t xml:space="preserve"> </w:t>
      </w:r>
      <m:oMath>
        <m:r>
          <w:rPr>
            <w:rFonts w:ascii="Cambria Math" w:hAnsi="Cambria Math"/>
          </w:rPr>
          <m:t>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&gt;0.5</m:t>
        </m:r>
      </m:oMath>
      <w:r w:rsidR="00124973">
        <w:t xml:space="preserve"> and </w:t>
      </w:r>
      <m:oMath>
        <m:r>
          <w:rPr>
            <w:rFonts w:ascii="Cambria Math" w:hAnsi="Cambria Math"/>
          </w:rPr>
          <m:t>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&lt;1-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AB73B6">
        <w:t xml:space="preserve">, </w:t>
      </w:r>
      <w:r w:rsidR="00124973">
        <w:t xml:space="preserve">a valid measure of </w:t>
      </w:r>
      <w:r w:rsidR="00AB73B6">
        <w:t>partisan advantage</w:t>
      </w:r>
      <w:r w:rsidR="00124973">
        <w:t xml:space="preserve"> will indicate that the plan is biased in favor of Democrats.</w:t>
      </w:r>
    </w:p>
    <w:p w14:paraId="75C4AD06" w14:textId="683A1BBE" w:rsidR="00382426" w:rsidRDefault="00D62E34" w:rsidP="00C627F0">
      <w:pPr>
        <w:ind w:left="720"/>
      </w:pPr>
      <w:r>
        <w:br/>
      </w:r>
      <w:r w:rsidR="00382426">
        <w:t>In graphical terms, what this means is that that a valid measure of partisan advantage must classify points D3 and D4 as favoring Republicans and points R3 and R4 as favoring Democrats.</w:t>
      </w:r>
    </w:p>
    <w:p w14:paraId="7766B729" w14:textId="77777777" w:rsidR="00382426" w:rsidRDefault="00382426" w:rsidP="00061311">
      <w:pPr>
        <w:ind w:left="720"/>
      </w:pPr>
    </w:p>
    <w:p w14:paraId="21F01A70" w14:textId="1C56ED03" w:rsidR="00061311" w:rsidRDefault="000D105B" w:rsidP="00C627F0">
      <w:pPr>
        <w:ind w:left="720"/>
      </w:pPr>
      <w:r>
        <w:lastRenderedPageBreak/>
        <w:t>D4 and R4 are a</w:t>
      </w:r>
      <w:r w:rsidR="00061311">
        <w:t>nti-majoritarian plans where one party gets more than half the votes but less than half the seats</w:t>
      </w:r>
      <w:r w:rsidR="00E440A4">
        <w:t>—</w:t>
      </w:r>
      <w:r w:rsidR="00061311">
        <w:t xml:space="preserve">a subset of </w:t>
      </w:r>
      <w:r w:rsidR="00E72C96">
        <w:t>sub-proportional</w:t>
      </w:r>
      <w:r w:rsidR="00061311">
        <w:t xml:space="preserve"> plans.</w:t>
      </w:r>
      <w:r w:rsidR="00C627F0">
        <w:br/>
      </w:r>
      <w:r w:rsidR="00C627F0">
        <w:br/>
        <w:t>Another way to express this property is that for any ideal seats</w:t>
      </w:r>
      <w:r w:rsidR="00C627F0">
        <w:softHyphen/>
        <w:t xml:space="preserve">–votes curve, </w:t>
      </w:r>
      <m:oMath>
        <m:r>
          <w:rPr>
            <w:rFonts w:ascii="Cambria Math" w:hAnsi="Cambria Math" w:cstheme="minorHAnsi"/>
          </w:rPr>
          <m:t>S(V)</m:t>
        </m:r>
      </m:oMath>
      <w:r w:rsidR="00C627F0" w:rsidRPr="00D62E34">
        <w:rPr>
          <w:rFonts w:cstheme="minorHAnsi"/>
        </w:rPr>
        <w:t>,</w:t>
      </w:r>
      <w:r w:rsidR="00C627F0" w:rsidRPr="00D62E34">
        <w:rPr>
          <w:rFonts w:eastAsia="Times New Roman" w:cstheme="minorHAnsi"/>
          <w:color w:val="222222"/>
          <w:shd w:val="clear" w:color="auto" w:fill="FFFFFF"/>
        </w:rPr>
        <w:t xml:space="preserve"> it must be the case </w:t>
      </w:r>
      <w:r w:rsidR="00C627F0">
        <w:rPr>
          <w:rFonts w:eastAsia="Times New Roman" w:cstheme="minorHAnsi"/>
          <w:color w:val="222222"/>
          <w:shd w:val="clear" w:color="auto" w:fill="FFFFFF"/>
        </w:rPr>
        <w:t xml:space="preserve">that </w:t>
      </w:r>
      <m:oMath>
        <m:r>
          <w:rPr>
            <w:rFonts w:ascii="Cambria Math" w:hAnsi="Cambria Math"/>
          </w:rPr>
          <m:t>S(V)≤V</m:t>
        </m:r>
      </m:oMath>
      <w:r w:rsidR="00C627F0" w:rsidRPr="00D62E34">
        <w:t xml:space="preserve"> for any </w:t>
      </w:r>
      <m:oMath>
        <m:r>
          <w:rPr>
            <w:rFonts w:ascii="Cambria Math" w:hAnsi="Cambria Math"/>
          </w:rPr>
          <m:t>V&lt;0.5</m:t>
        </m:r>
      </m:oMath>
      <w:r w:rsidR="00C627F0" w:rsidRPr="00D62E34">
        <w:t xml:space="preserve">, </w:t>
      </w:r>
      <m:oMath>
        <m:r>
          <w:rPr>
            <w:rFonts w:ascii="Cambria Math" w:hAnsi="Cambria Math"/>
          </w:rPr>
          <m:t>S(0.5)=0.5</m:t>
        </m:r>
      </m:oMath>
      <w:r w:rsidR="00C627F0">
        <w:t>,</w:t>
      </w:r>
      <w:r w:rsidR="00C627F0" w:rsidRPr="00D62E34">
        <w:t xml:space="preserve"> and </w:t>
      </w:r>
      <m:oMath>
        <m:r>
          <w:rPr>
            <w:rFonts w:ascii="Cambria Math" w:hAnsi="Cambria Math"/>
          </w:rPr>
          <m:t>S(V)≥V</m:t>
        </m:r>
      </m:oMath>
      <w:r w:rsidR="00C627F0" w:rsidRPr="00D62E34">
        <w:t xml:space="preserve"> for any </w:t>
      </w:r>
      <m:oMath>
        <m:r>
          <w:rPr>
            <w:rFonts w:ascii="Cambria Math" w:hAnsi="Cambria Math"/>
          </w:rPr>
          <m:t>V&gt;0.5</m:t>
        </m:r>
      </m:oMath>
      <w:r w:rsidR="00C627F0">
        <w:t>.</w:t>
      </w:r>
      <w:r w:rsidR="00C627F0">
        <w:rPr>
          <w:rStyle w:val="FootnoteReference"/>
        </w:rPr>
        <w:footnoteReference w:id="8"/>
      </w:r>
      <w:r w:rsidR="00C627F0">
        <w:t xml:space="preserve"> Together the ideal and the line of proportionality create the zone of acceptability noted in Property 5.</w:t>
      </w:r>
    </w:p>
    <w:p w14:paraId="6D83B313" w14:textId="0031A023" w:rsidR="00124973" w:rsidRDefault="00124973" w:rsidP="00124973"/>
    <w:p w14:paraId="5B2908BF" w14:textId="673C2799" w:rsidR="00E16C90" w:rsidRDefault="00E440A4" w:rsidP="000D105B">
      <w:pPr>
        <w:pStyle w:val="ListParagraph"/>
        <w:numPr>
          <w:ilvl w:val="0"/>
          <w:numId w:val="19"/>
        </w:numPr>
      </w:pPr>
      <w:r>
        <w:t>Property 4</w:t>
      </w:r>
      <w:r w:rsidR="000D105B">
        <w:t xml:space="preserve">: </w:t>
      </w:r>
      <w:r w:rsidR="002E7ED0">
        <w:t>Super-ideal outcomes favor the majority party.</w:t>
      </w:r>
      <w:r w:rsidR="000D105B">
        <w:br/>
      </w:r>
    </w:p>
    <w:p w14:paraId="394D70FA" w14:textId="24F0DCA0" w:rsidR="00E16C90" w:rsidRDefault="00E16C90" w:rsidP="00E16C90">
      <w:pPr>
        <w:pStyle w:val="ListParagraph"/>
        <w:numPr>
          <w:ilvl w:val="0"/>
          <w:numId w:val="21"/>
        </w:numPr>
      </w:pPr>
      <w:r>
        <w:t xml:space="preserve">If </w:t>
      </w:r>
      <m:oMath>
        <m:r>
          <w:rPr>
            <w:rFonts w:ascii="Cambria Math" w:hAnsi="Cambria Math"/>
          </w:rPr>
          <m:t>S(V)</m:t>
        </m:r>
      </m:oMath>
      <w:r>
        <w:t xml:space="preserve"> is the ideal seats–votes relationship,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&gt;0.5</m:t>
        </m:r>
      </m:oMath>
      <w: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&gt;S(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</m:t>
        </m:r>
      </m:oMath>
      <w:r>
        <w:t>, then a valid measure of partisan advantage will classify the plan as favoring Democrats.</w:t>
      </w:r>
    </w:p>
    <w:p w14:paraId="0AD90588" w14:textId="7ABA36C9" w:rsidR="000D105B" w:rsidRDefault="00274145" w:rsidP="00E16C90">
      <w:pPr>
        <w:pStyle w:val="ListParagraph"/>
        <w:numPr>
          <w:ilvl w:val="0"/>
          <w:numId w:val="21"/>
        </w:numPr>
      </w:pPr>
      <w:r>
        <w:t>Conversely</w:t>
      </w:r>
      <w:r w:rsidR="00E16C90">
        <w:t xml:space="preserve">, if </w:t>
      </w:r>
      <m:oMath>
        <m:r>
          <w:rPr>
            <w:rFonts w:ascii="Cambria Math" w:hAnsi="Cambria Math"/>
          </w:rPr>
          <m:t>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&gt;0.5</m:t>
        </m:r>
      </m:oMath>
      <w:r w:rsidR="00E16C90">
        <w:t xml:space="preserve"> and </w:t>
      </w:r>
      <m:oMath>
        <m:r>
          <w:rPr>
            <w:rFonts w:ascii="Cambria Math" w:hAnsi="Cambria Math"/>
          </w:rPr>
          <m:t>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&gt;S(1-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</m:t>
        </m:r>
      </m:oMath>
      <w:r w:rsidR="00E16C90">
        <w:t xml:space="preserve">, then a valid measure of partisan advantage will classify the plan as favoring </w:t>
      </w:r>
      <w:r w:rsidR="00AF5926">
        <w:t>Republicans</w:t>
      </w:r>
      <w:r w:rsidR="00E16C90">
        <w:t>.</w:t>
      </w:r>
      <w:r w:rsidR="00AF5926">
        <w:br/>
      </w:r>
    </w:p>
    <w:p w14:paraId="1A65E563" w14:textId="01AD63EC" w:rsidR="00AF5926" w:rsidRDefault="00AF5926" w:rsidP="00AF5926">
      <w:pPr>
        <w:ind w:left="720"/>
      </w:pPr>
      <w:r>
        <w:t>In graphical terms, this means that a valid measure of partisan advantage must classify</w:t>
      </w:r>
      <w:r w:rsidR="00311F9F">
        <w:t xml:space="preserve"> </w:t>
      </w:r>
      <w:r>
        <w:t>points D1 and R1 as favoring Democrats and Republicans, respectively.</w:t>
      </w:r>
    </w:p>
    <w:p w14:paraId="57C52933" w14:textId="77777777" w:rsidR="000D105B" w:rsidRDefault="000D105B" w:rsidP="00124973"/>
    <w:p w14:paraId="1CF98D32" w14:textId="0C708F2E" w:rsidR="00AD6169" w:rsidRDefault="00DA2D04" w:rsidP="000D105B">
      <w:pPr>
        <w:pStyle w:val="ListParagraph"/>
        <w:numPr>
          <w:ilvl w:val="0"/>
          <w:numId w:val="19"/>
        </w:numPr>
      </w:pPr>
      <w:r>
        <w:t>Property 5</w:t>
      </w:r>
      <w:r w:rsidR="00AD6169">
        <w:t>: Outcomes between proportional and ideal inclusive have acceptable bias not unduly favoring either party.</w:t>
      </w:r>
    </w:p>
    <w:p w14:paraId="3A9AB118" w14:textId="5ECD6FA3" w:rsidR="00AD6169" w:rsidRDefault="00AD6169" w:rsidP="00AD6169"/>
    <w:p w14:paraId="54952D7E" w14:textId="36AAF2B8" w:rsidR="00AD6169" w:rsidRDefault="00AD6169" w:rsidP="00AD6169">
      <w:pPr>
        <w:pStyle w:val="ListParagraph"/>
        <w:numPr>
          <w:ilvl w:val="0"/>
          <w:numId w:val="22"/>
        </w:num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&gt;0.5</m:t>
        </m:r>
      </m:oMath>
      <w: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≤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≤S(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, then a valid measure of partisan advantage will classify the plan as </w:t>
      </w:r>
      <w:r w:rsidR="00274145">
        <w:t xml:space="preserve">not </w:t>
      </w:r>
      <w:r w:rsidR="00335015">
        <w:t xml:space="preserve">unduly </w:t>
      </w:r>
      <w:r w:rsidR="00274145">
        <w:t>favoring either party.</w:t>
      </w:r>
    </w:p>
    <w:p w14:paraId="79FF1EA6" w14:textId="5B552D29" w:rsidR="00AD6169" w:rsidRDefault="00274145" w:rsidP="00AD6169">
      <w:pPr>
        <w:pStyle w:val="ListParagraph"/>
        <w:numPr>
          <w:ilvl w:val="0"/>
          <w:numId w:val="22"/>
        </w:numPr>
      </w:pPr>
      <w:r w:rsidRPr="00343291">
        <w:t>Similarly</w:t>
      </w:r>
      <w:r w:rsidR="00AD6169" w:rsidRPr="00343291">
        <w:t xml:space="preserve">, if </w:t>
      </w:r>
      <m:oMath>
        <m:r>
          <w:rPr>
            <w:rFonts w:ascii="Cambria Math" w:hAnsi="Cambria Math"/>
          </w:rPr>
          <m:t>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&gt;0.5</m:t>
        </m:r>
      </m:oMath>
      <w:r w:rsidR="00AD6169" w:rsidRPr="00343291">
        <w:t xml:space="preserve"> and </w:t>
      </w:r>
      <m:oMath>
        <m:r>
          <w:rPr>
            <w:rFonts w:ascii="Cambria Math" w:hAnsi="Cambria Math"/>
          </w:rPr>
          <m:t>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≤1-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≤S(1-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</m:t>
        </m:r>
      </m:oMath>
      <w:r w:rsidRPr="00343291">
        <w:t>,</w:t>
      </w:r>
      <w:r w:rsidR="00AD6169" w:rsidRPr="00343291">
        <w:t xml:space="preserve"> then a valid measure of partisan advantage will classify the plan </w:t>
      </w:r>
      <w:r w:rsidRPr="00343291">
        <w:t xml:space="preserve">as not </w:t>
      </w:r>
      <w:r w:rsidR="00343291">
        <w:t xml:space="preserve">unduly </w:t>
      </w:r>
      <w:r w:rsidRPr="00343291">
        <w:t>favoring either party</w:t>
      </w:r>
      <w:r w:rsidR="00AD6169" w:rsidRPr="00343291">
        <w:t>.</w:t>
      </w:r>
      <w:r w:rsidR="00AD6169">
        <w:br/>
      </w:r>
    </w:p>
    <w:p w14:paraId="0A40ADD7" w14:textId="5D6D298A" w:rsidR="00AD6169" w:rsidRDefault="00AD6169" w:rsidP="00F6518C">
      <w:pPr>
        <w:ind w:left="720"/>
      </w:pPr>
      <w:r>
        <w:t>In graphical terms, this means that a valid measure of partisan advantage must classify</w:t>
      </w:r>
      <w:r w:rsidR="00740F00">
        <w:t xml:space="preserve"> </w:t>
      </w:r>
      <w:r>
        <w:t>points D</w:t>
      </w:r>
      <w:r w:rsidR="000E5C34">
        <w:t>2</w:t>
      </w:r>
      <w:r>
        <w:t xml:space="preserve"> and R</w:t>
      </w:r>
      <w:r w:rsidR="000E5C34">
        <w:t>2</w:t>
      </w:r>
      <w:r>
        <w:t xml:space="preserve"> as favoring </w:t>
      </w:r>
      <w:r w:rsidR="000E5C34">
        <w:t>as not unduly favoring either party</w:t>
      </w:r>
      <w:r>
        <w:t>.</w:t>
      </w:r>
    </w:p>
    <w:p w14:paraId="03590B01" w14:textId="77777777" w:rsidR="00AD6169" w:rsidRDefault="00AD6169" w:rsidP="00AD6169"/>
    <w:p w14:paraId="57DD5B50" w14:textId="01CD2903" w:rsidR="000D105B" w:rsidRDefault="00DA2D04" w:rsidP="000D105B">
      <w:pPr>
        <w:pStyle w:val="ListParagraph"/>
        <w:numPr>
          <w:ilvl w:val="0"/>
          <w:numId w:val="19"/>
        </w:numPr>
      </w:pPr>
      <w:r>
        <w:t>Property 6</w:t>
      </w:r>
      <w:r w:rsidR="000D105B">
        <w:t xml:space="preserve">: </w:t>
      </w:r>
      <w:commentRangeStart w:id="2"/>
      <w:r w:rsidR="000D105B">
        <w:t>Locality</w:t>
      </w:r>
      <w:commentRangeEnd w:id="2"/>
      <w:r w:rsidR="000219A4">
        <w:rPr>
          <w:rStyle w:val="CommentReference"/>
        </w:rPr>
        <w:commentReference w:id="2"/>
      </w:r>
    </w:p>
    <w:p w14:paraId="04418DCD" w14:textId="47E74BC6" w:rsidR="00124973" w:rsidRDefault="00124973" w:rsidP="0001675E"/>
    <w:p w14:paraId="093743FC" w14:textId="4CD67657" w:rsidR="00661874" w:rsidRDefault="00661874" w:rsidP="00661874">
      <w:pPr>
        <w:ind w:left="720"/>
      </w:pPr>
      <w:r>
        <w:t>W</w:t>
      </w:r>
      <w:r w:rsidR="00DE1D5D" w:rsidRPr="00DB4E8C">
        <w:t xml:space="preserve">hile </w:t>
      </w:r>
      <w:r w:rsidR="00DE1D5D">
        <w:t xml:space="preserve">a </w:t>
      </w:r>
      <w:proofErr w:type="gramStart"/>
      <w:r w:rsidR="00DE1D5D">
        <w:t>seats</w:t>
      </w:r>
      <w:proofErr w:type="gramEnd"/>
      <w:r w:rsidR="00DE1D5D">
        <w:t>–votes</w:t>
      </w:r>
      <w:r w:rsidR="00DE1D5D" w:rsidRPr="00DB4E8C">
        <w:t xml:space="preserve"> curve </w:t>
      </w:r>
      <w:r w:rsidR="00DE1D5D">
        <w:t xml:space="preserve">shows the likely seat share </w:t>
      </w:r>
      <w:r w:rsidR="00DE1D5D" w:rsidRPr="00DB4E8C">
        <w:t xml:space="preserve">over </w:t>
      </w:r>
      <w:r w:rsidR="00DE1D5D">
        <w:t>all</w:t>
      </w:r>
      <w:r w:rsidR="00DE1D5D" w:rsidRPr="00DB4E8C">
        <w:t xml:space="preserve"> theoretical</w:t>
      </w:r>
      <w:r w:rsidR="00DE1D5D">
        <w:t>ly possible</w:t>
      </w:r>
      <w:r w:rsidR="00DE1D5D" w:rsidRPr="00DB4E8C">
        <w:t xml:space="preserve"> vote shares</w:t>
      </w:r>
      <w:r w:rsidR="00DE1D5D">
        <w:t>,</w:t>
      </w:r>
      <w:r w:rsidR="00DE1D5D">
        <w:rPr>
          <w:rStyle w:val="FootnoteReference"/>
        </w:rPr>
        <w:footnoteReference w:id="9"/>
      </w:r>
      <w:r w:rsidR="00DE1D5D" w:rsidRPr="00DB4E8C">
        <w:t xml:space="preserve"> only a small range</w:t>
      </w:r>
      <w:r w:rsidR="00DE1D5D">
        <w:t xml:space="preserve"> around the typical statewide vote share are</w:t>
      </w:r>
      <w:r w:rsidR="00DE1D5D" w:rsidRPr="00DB4E8C">
        <w:t xml:space="preserve"> </w:t>
      </w:r>
      <w:r w:rsidR="00DE1D5D">
        <w:t>likely</w:t>
      </w:r>
      <w:r w:rsidR="00DE1D5D" w:rsidRPr="00DB4E8C">
        <w:t xml:space="preserve"> in practice.</w:t>
      </w:r>
      <w:r w:rsidR="00DE1D5D">
        <w:rPr>
          <w:rStyle w:val="FootnoteReference"/>
        </w:rPr>
        <w:footnoteReference w:id="10"/>
      </w:r>
      <w:r w:rsidR="00DE1D5D" w:rsidRPr="00DB4E8C">
        <w:t xml:space="preserve"> Hence, </w:t>
      </w:r>
      <w:r w:rsidR="00DE1D5D">
        <w:t xml:space="preserve">valid measures of </w:t>
      </w:r>
      <w:r>
        <w:t>partisan advantage</w:t>
      </w:r>
      <w:r w:rsidR="00DE1D5D" w:rsidRPr="00DB4E8C">
        <w:t xml:space="preserve"> </w:t>
      </w:r>
      <w:r w:rsidR="00DE1D5D">
        <w:t>measure it around the typical statewide vote share</w:t>
      </w:r>
      <w:r>
        <w:t xml:space="preserve"> without recourse to aspects of the seats–votes curve outside that range.</w:t>
      </w:r>
    </w:p>
    <w:p w14:paraId="7EFBD874" w14:textId="77777777" w:rsidR="00661874" w:rsidRDefault="00661874" w:rsidP="00661874">
      <w:pPr>
        <w:ind w:left="720"/>
      </w:pPr>
    </w:p>
    <w:p w14:paraId="01BCCBF2" w14:textId="0409C694" w:rsidR="00DE1D5D" w:rsidRDefault="00DE1D5D" w:rsidP="00DA2D04">
      <w:r>
        <w:lastRenderedPageBreak/>
        <w:t xml:space="preserve">This </w:t>
      </w:r>
      <w:r w:rsidR="00DA2D04">
        <w:t>last property</w:t>
      </w:r>
      <w:r>
        <w:t xml:space="preserve"> is analogous to the </w:t>
      </w:r>
      <w:r w:rsidRPr="005A7406">
        <w:rPr>
          <w:i/>
          <w:iCs/>
        </w:rPr>
        <w:t>principle of locality</w:t>
      </w:r>
      <w:r>
        <w:t xml:space="preserve"> in physics.</w:t>
      </w:r>
      <w:r>
        <w:rPr>
          <w:rStyle w:val="FootnoteReference"/>
        </w:rPr>
        <w:footnoteReference w:id="11"/>
      </w:r>
      <w:r>
        <w:t xml:space="preserve"> Absent some theory and some empirical evidence to support it, there is no reason to believe that any metric that measures </w:t>
      </w:r>
      <w:r w:rsidR="00536406">
        <w:t>something</w:t>
      </w:r>
      <w:r>
        <w:t xml:space="preserve"> far away from the likely statewide vote share measures </w:t>
      </w:r>
      <w:r w:rsidR="00536406">
        <w:t>anything</w:t>
      </w:r>
      <w:r>
        <w:t xml:space="preserve"> related to </w:t>
      </w:r>
      <w:r w:rsidR="00536406">
        <w:t>partisan advantage</w:t>
      </w:r>
      <w:r>
        <w:t xml:space="preserve"> close to it.</w:t>
      </w:r>
    </w:p>
    <w:p w14:paraId="0F52D5DB" w14:textId="739AB20F" w:rsidR="00DE1D5D" w:rsidRDefault="00DE1D5D" w:rsidP="0001675E"/>
    <w:p w14:paraId="10ADDDAB" w14:textId="79F84758" w:rsidR="00536406" w:rsidRDefault="002C57F3" w:rsidP="006207EA">
      <w:pPr>
        <w:pStyle w:val="Heading2"/>
      </w:pPr>
      <w:r>
        <w:t>2</w:t>
      </w:r>
      <w:r w:rsidR="006207EA">
        <w:t>.3 Candidate Measures</w:t>
      </w:r>
    </w:p>
    <w:p w14:paraId="3C9F09F5" w14:textId="77777777" w:rsidR="006207EA" w:rsidRDefault="006207EA" w:rsidP="0001675E"/>
    <w:p w14:paraId="3D45B639" w14:textId="1A3784C0" w:rsidR="00654550" w:rsidRPr="00654550" w:rsidRDefault="00654550" w:rsidP="00B37B61">
      <w:pPr>
        <w:rPr>
          <w:i/>
          <w:iCs/>
        </w:rPr>
      </w:pPr>
      <w:r w:rsidRPr="00654550">
        <w:rPr>
          <w:i/>
          <w:iCs/>
        </w:rPr>
        <w:t>[</w:t>
      </w:r>
      <w:r>
        <w:rPr>
          <w:i/>
          <w:iCs/>
        </w:rPr>
        <w:t xml:space="preserve">This section is very much a work in progress, but I wanted to </w:t>
      </w:r>
      <w:r w:rsidR="009A0F26">
        <w:rPr>
          <w:i/>
          <w:iCs/>
        </w:rPr>
        <w:t>flesh out</w:t>
      </w:r>
      <w:r>
        <w:rPr>
          <w:i/>
          <w:iCs/>
        </w:rPr>
        <w:t xml:space="preserve"> your ideas about ideal S(V) functions.</w:t>
      </w:r>
      <w:r w:rsidRPr="00654550">
        <w:rPr>
          <w:i/>
          <w:iCs/>
        </w:rPr>
        <w:t>]</w:t>
      </w:r>
    </w:p>
    <w:p w14:paraId="60D288E8" w14:textId="77777777" w:rsidR="00654550" w:rsidRDefault="00654550" w:rsidP="00B37B61"/>
    <w:p w14:paraId="75F066DE" w14:textId="5847BE53" w:rsidR="00B37B61" w:rsidRDefault="00B37B61" w:rsidP="00B37B61">
      <w:r>
        <w:t xml:space="preserve">With one modification discussed later, </w:t>
      </w:r>
      <w:r w:rsidR="009265A9">
        <w:t xml:space="preserve">these </w:t>
      </w:r>
      <w:r>
        <w:t>three metrics are valid measures of partisan advantage as we have defined it:</w:t>
      </w:r>
    </w:p>
    <w:p w14:paraId="22A75613" w14:textId="77777777" w:rsidR="00B37B61" w:rsidRDefault="00B37B61" w:rsidP="00B37B61"/>
    <w:p w14:paraId="089DE176" w14:textId="77777777" w:rsidR="00B37B61" w:rsidRPr="006A01AA" w:rsidRDefault="00B37B61" w:rsidP="00B37B61">
      <w:pPr>
        <w:pStyle w:val="ListParagraph"/>
        <w:numPr>
          <w:ilvl w:val="0"/>
          <w:numId w:val="23"/>
        </w:numPr>
      </w:pPr>
      <w:r>
        <w:t>Proportional (</w:t>
      </w:r>
      <m:oMath>
        <m:r>
          <w:rPr>
            <w:rFonts w:ascii="Cambria Math" w:hAnsi="Cambria Math"/>
          </w:rPr>
          <m:t>PR</m:t>
        </m:r>
      </m:oMath>
      <w:r>
        <w:t>)</w:t>
      </w:r>
    </w:p>
    <w:p w14:paraId="2BDF1514" w14:textId="77777777" w:rsidR="00B37B61" w:rsidRDefault="00B37B61" w:rsidP="00B37B61">
      <w:pPr>
        <w:pStyle w:val="ListParagraph"/>
        <w:numPr>
          <w:ilvl w:val="0"/>
          <w:numId w:val="23"/>
        </w:numPr>
      </w:pPr>
      <w:r>
        <w:t>Efficiency gap (</w:t>
      </w:r>
      <m:oMath>
        <m:r>
          <w:rPr>
            <w:rFonts w:ascii="Cambria Math" w:hAnsi="Cambria Math"/>
          </w:rPr>
          <m:t>EG</m:t>
        </m:r>
      </m:oMath>
      <w:r>
        <w:t>), and</w:t>
      </w:r>
    </w:p>
    <w:p w14:paraId="2838765C" w14:textId="77777777" w:rsidR="00B37B61" w:rsidRDefault="00B37B61" w:rsidP="00B37B61">
      <w:pPr>
        <w:pStyle w:val="ListParagraph"/>
        <w:numPr>
          <w:ilvl w:val="0"/>
          <w:numId w:val="23"/>
        </w:numPr>
      </w:pPr>
      <w:r>
        <w:t>Gamma (</w:t>
      </w:r>
      <m:oMath>
        <m:r>
          <w:rPr>
            <w:rFonts w:ascii="Cambria Math" w:hAnsi="Cambria Math"/>
          </w:rPr>
          <m:t>γ</m:t>
        </m:r>
      </m:oMath>
      <w:r>
        <w:t>)</w:t>
      </w:r>
    </w:p>
    <w:p w14:paraId="192175F3" w14:textId="77777777" w:rsidR="00B37B61" w:rsidRDefault="00B37B61" w:rsidP="00B37B61"/>
    <w:p w14:paraId="33B6AC8A" w14:textId="77777777" w:rsidR="00B37B61" w:rsidRDefault="00B37B61" w:rsidP="00B37B61">
      <w:r>
        <w:t>They share the same underlying functional form:</w:t>
      </w:r>
    </w:p>
    <w:p w14:paraId="02060BFE" w14:textId="07C7DE5A" w:rsidR="00B37B61" w:rsidRDefault="00B37B61" w:rsidP="00B37B61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∆S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-0.5</m:t>
            </m:r>
          </m:e>
        </m:d>
        <m:r>
          <m:rPr>
            <m:sty m:val="p"/>
          </m:rPr>
          <w:rPr>
            <w:rFonts w:ascii="Cambria Math" w:hAnsi="Cambria Math"/>
          </w:rPr>
          <m:t>-(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-0.5)</m:t>
        </m:r>
      </m:oMath>
      <w:r>
        <w:t xml:space="preserve"> </w:t>
      </w:r>
      <w:r>
        <w:tab/>
        <w:t>(2)</w:t>
      </w:r>
    </w:p>
    <w:p w14:paraId="3D06CB4B" w14:textId="77777777" w:rsidR="00B37B61" w:rsidRDefault="00B37B61" w:rsidP="00B37B61">
      <w:r>
        <w:t xml:space="preserve">where </w:t>
      </w:r>
      <m:oMath>
        <m:r>
          <w:rPr>
            <w:rFonts w:ascii="Cambria Math" w:hAnsi="Cambria Math"/>
          </w:rPr>
          <m:t>m</m:t>
        </m:r>
      </m:oMath>
      <w:r>
        <w:t xml:space="preserve"> is an actual or idealized value of </w:t>
      </w:r>
      <w:proofErr w:type="gramStart"/>
      <w:r>
        <w:t>responsiveness:</w:t>
      </w:r>
      <w:proofErr w:type="gramEnd"/>
      <w:r>
        <w:t xml:space="preserve"> </w:t>
      </w:r>
    </w:p>
    <w:p w14:paraId="48B1C2AE" w14:textId="77777777" w:rsidR="00B37B61" w:rsidRDefault="00B37B61" w:rsidP="00B37B61"/>
    <w:p w14:paraId="66867429" w14:textId="77777777" w:rsidR="00B37B61" w:rsidRDefault="00B37B61" w:rsidP="00B37B61">
      <w:pPr>
        <w:pStyle w:val="ListParagraph"/>
        <w:numPr>
          <w:ilvl w:val="0"/>
          <w:numId w:val="23"/>
        </w:numPr>
      </w:pPr>
      <w:r>
        <w:t xml:space="preserve">For proportionality, </w:t>
      </w:r>
      <m:oMath>
        <m:r>
          <w:rPr>
            <w:rFonts w:ascii="Cambria Math" w:hAnsi="Cambria Math"/>
          </w:rPr>
          <m:t>m=1</m:t>
        </m:r>
      </m:oMath>
      <w:r>
        <w:t xml:space="preserve"> making the </w:t>
      </w:r>
      <m:oMath>
        <m:r>
          <w:rPr>
            <w:rFonts w:ascii="Cambria Math" w:hAnsi="Cambria Math"/>
          </w:rPr>
          <m:t>45°</m:t>
        </m:r>
      </m:oMath>
      <w:r>
        <w:t xml:space="preserve"> proportionality line where </w:t>
      </w:r>
      <m:oMath>
        <m:r>
          <w:rPr>
            <w:rFonts w:ascii="Cambria Math" w:hAnsi="Cambria Math"/>
          </w:rPr>
          <m:t>S = V</m:t>
        </m:r>
      </m:oMath>
      <w:r>
        <w:t xml:space="preserve">. On purely little ‘d’ democratic principles one might say that this the ideal seats–votes relationship. </w:t>
      </w:r>
    </w:p>
    <w:p w14:paraId="4F2338C3" w14:textId="77777777" w:rsidR="00B37B61" w:rsidRDefault="00B37B61" w:rsidP="00B37B61">
      <w:pPr>
        <w:pStyle w:val="ListParagraph"/>
        <w:numPr>
          <w:ilvl w:val="0"/>
          <w:numId w:val="23"/>
        </w:numPr>
      </w:pPr>
      <w:r>
        <w:t>In contrast, the efficiency gap embeds an ideal responsiveness of 2—a two times winner’s bonus (</w:t>
      </w:r>
      <m:oMath>
        <m:r>
          <w:rPr>
            <w:rFonts w:ascii="Cambria Math" w:hAnsi="Cambria Math"/>
          </w:rPr>
          <m:t>R</m:t>
        </m:r>
      </m:oMath>
      <w:r>
        <w:t xml:space="preserve">). One can argue that this comports better with how single-member districts </w:t>
      </w:r>
      <w:proofErr w:type="gramStart"/>
      <w:r>
        <w:t>actually perform</w:t>
      </w:r>
      <w:proofErr w:type="gramEnd"/>
      <w:r>
        <w:t xml:space="preserve"> in practice.</w:t>
      </w:r>
      <w:r>
        <w:rPr>
          <w:rStyle w:val="FootnoteReference"/>
        </w:rPr>
        <w:footnoteReference w:id="12"/>
      </w:r>
      <w:r>
        <w:t xml:space="preserve"> </w:t>
      </w:r>
    </w:p>
    <w:p w14:paraId="154571F3" w14:textId="77777777" w:rsidR="00B37B61" w:rsidRDefault="00B37B61" w:rsidP="00B37B61">
      <w:pPr>
        <w:pStyle w:val="ListParagraph"/>
        <w:numPr>
          <w:ilvl w:val="0"/>
          <w:numId w:val="23"/>
        </w:numPr>
      </w:pPr>
      <w:r>
        <w:t>The gamma measure uses the responsiveness measured at the statewide vote share.</w:t>
      </w:r>
    </w:p>
    <w:p w14:paraId="24313A57" w14:textId="77777777" w:rsidR="00B37B61" w:rsidRDefault="00B37B61" w:rsidP="00B37B61"/>
    <w:p w14:paraId="0F97E4E3" w14:textId="3D7329D4" w:rsidR="00B37B61" w:rsidRDefault="00821C73" w:rsidP="00B37B61">
      <w:r>
        <w:t>Moreover, since</w:t>
      </w:r>
      <w:r w:rsidR="00B37B61">
        <w:t xml:space="preserve"> these measures are all evaluated at the statewide vote share and do not depend on counterfactuals outside the local range, </w:t>
      </w:r>
      <w:r>
        <w:t>we</w:t>
      </w:r>
      <w:r w:rsidR="00B37B61">
        <w:t xml:space="preserve"> expect the signals from these metrics to match </w:t>
      </w:r>
      <w:r w:rsidR="00B37B61">
        <w:rPr>
          <w:i/>
          <w:iCs/>
        </w:rPr>
        <w:t>a priori</w:t>
      </w:r>
      <w:r w:rsidR="00B37B61">
        <w:t xml:space="preserve"> expectations of </w:t>
      </w:r>
      <w:r>
        <w:t>partisan advantage</w:t>
      </w:r>
      <w:r w:rsidR="00B37B61">
        <w:t xml:space="preserve"> even in states that are unbalanced politically.</w:t>
      </w:r>
    </w:p>
    <w:p w14:paraId="57C7CB9F" w14:textId="5D8AA24B" w:rsidR="00DE1D5D" w:rsidRDefault="00DE1D5D" w:rsidP="0001675E"/>
    <w:p w14:paraId="2A810518" w14:textId="4E7B8A35" w:rsidR="00B37B61" w:rsidRDefault="00FA0478" w:rsidP="0001675E">
      <w:r>
        <w:t>Other candidates</w:t>
      </w:r>
      <w:r w:rsidR="00771EC4">
        <w:t xml:space="preserve"> (from your email</w:t>
      </w:r>
      <w:r w:rsidR="00B40A70">
        <w:t>, lightly edited</w:t>
      </w:r>
      <w:r w:rsidR="00771EC4">
        <w:t>)</w:t>
      </w:r>
      <w:r>
        <w:t>:</w:t>
      </w:r>
    </w:p>
    <w:p w14:paraId="33048325" w14:textId="61C4F456" w:rsidR="00FA0478" w:rsidRDefault="00FA0478" w:rsidP="0001675E"/>
    <w:p w14:paraId="16C09C04" w14:textId="762E0C1C" w:rsidR="00B40A70" w:rsidRDefault="00B40A70" w:rsidP="00B40A70">
      <w:pPr>
        <w:pStyle w:val="ListParagraph"/>
        <w:numPr>
          <w:ilvl w:val="0"/>
          <w:numId w:val="23"/>
        </w:numPr>
      </w:pPr>
      <w:r>
        <w:t>A</w:t>
      </w:r>
      <w:r w:rsidR="00FA0478">
        <w:t>ny seat</w:t>
      </w:r>
      <w:r>
        <w:t>s-votes</w:t>
      </w:r>
      <w:r w:rsidR="00FA0478">
        <w:t xml:space="preserve"> curve between 1-prop and 2-prop will work. </w:t>
      </w:r>
      <w:r>
        <w:t>M</w:t>
      </w:r>
      <w:r w:rsidR="00FA0478">
        <w:t>ore generally, you could take S(v)=</w:t>
      </w:r>
      <w:proofErr w:type="spellStart"/>
      <w:r w:rsidR="00FA0478">
        <w:t>kv</w:t>
      </w:r>
      <w:proofErr w:type="spellEnd"/>
      <w:r w:rsidR="00FA0478">
        <w:t xml:space="preserve"> and declare that any seat curve between 1-prop and k-prop is fine</w:t>
      </w:r>
      <w:r>
        <w:t>.</w:t>
      </w:r>
    </w:p>
    <w:p w14:paraId="119837B8" w14:textId="77777777" w:rsidR="00B40A70" w:rsidRDefault="00B40A70" w:rsidP="00FA0478">
      <w:pPr>
        <w:pStyle w:val="ListParagraph"/>
        <w:numPr>
          <w:ilvl w:val="0"/>
          <w:numId w:val="23"/>
        </w:numPr>
      </w:pPr>
      <w:r>
        <w:lastRenderedPageBreak/>
        <w:t>O</w:t>
      </w:r>
      <w:r w:rsidR="00FA0478">
        <w:t>r you can take a non</w:t>
      </w:r>
      <w:r>
        <w:t>-</w:t>
      </w:r>
      <w:r w:rsidR="00FA0478">
        <w:t xml:space="preserve">linear S(v), say S(v)=1 for any v&gt;0.5 (winner take all), and declare </w:t>
      </w:r>
      <w:proofErr w:type="gramStart"/>
      <w:r w:rsidR="00FA0478">
        <w:t>that actually, anything</w:t>
      </w:r>
      <w:proofErr w:type="gramEnd"/>
      <w:r w:rsidR="00FA0478">
        <w:t xml:space="preserve"> that is at least proportional is acceptable.</w:t>
      </w:r>
    </w:p>
    <w:p w14:paraId="5BDE64D4" w14:textId="0168191E" w:rsidR="00FA0478" w:rsidRDefault="00FA0478" w:rsidP="00FA0478">
      <w:pPr>
        <w:pStyle w:val="ListParagraph"/>
        <w:numPr>
          <w:ilvl w:val="0"/>
          <w:numId w:val="23"/>
        </w:numPr>
      </w:pPr>
      <w:r>
        <w:t xml:space="preserve">Or your S(v) can be funky too: Say S(v)=1 for v in (0.5 to 0.6), then S(v) decreasing linearly with slope 1 down to </w:t>
      </w:r>
      <w:proofErr w:type="gramStart"/>
      <w:r>
        <w:t>S(</w:t>
      </w:r>
      <w:proofErr w:type="gramEnd"/>
      <w:r>
        <w:t>0.8)=0.8, thereafter S(v)=v for v&gt;0.8… and then any rule with s(v) in between v and S(v) also satisfies your axioms.</w:t>
      </w:r>
    </w:p>
    <w:p w14:paraId="4A0C3E97" w14:textId="52C9FCA6" w:rsidR="00FA0478" w:rsidRDefault="00FA0478" w:rsidP="0001675E"/>
    <w:p w14:paraId="29EE4552" w14:textId="29246666" w:rsidR="00FA0478" w:rsidRDefault="00786817" w:rsidP="0001675E">
      <w:r>
        <w:t>More non-linear possibilities</w:t>
      </w:r>
      <w:r w:rsidR="00654550">
        <w:t xml:space="preserve"> (from </w:t>
      </w:r>
      <w:proofErr w:type="spellStart"/>
      <w:r w:rsidR="00654550">
        <w:t>Grofman</w:t>
      </w:r>
      <w:proofErr w:type="spellEnd"/>
      <w:r w:rsidR="00654550">
        <w:t xml:space="preserve"> and Tufte)</w:t>
      </w:r>
      <w:r w:rsidR="00FA0478">
        <w:t>:</w:t>
      </w:r>
    </w:p>
    <w:p w14:paraId="747217E8" w14:textId="77777777" w:rsidR="00654550" w:rsidRDefault="00654550" w:rsidP="0001675E"/>
    <w:p w14:paraId="2C3A0F9A" w14:textId="6C226EF3" w:rsidR="00B40A70" w:rsidRDefault="00581CE3" w:rsidP="00D3010F">
      <w:pPr>
        <w:pStyle w:val="ListParagraph"/>
        <w:numPr>
          <w:ilvl w:val="0"/>
          <w:numId w:val="23"/>
        </w:numPr>
      </w:pPr>
      <w:r>
        <w:t>One might specify the ideal seats–votes relationship as the “cube law” where:</w:t>
      </w:r>
      <w:r w:rsidR="00DD3B5C">
        <w:br/>
      </w:r>
      <w:r>
        <w:br/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DD3B5C" w:rsidRPr="00D3010F">
        <w:rPr>
          <w:iCs/>
        </w:rPr>
        <w:tab/>
        <w:t>(3)</w:t>
      </w:r>
      <w:r w:rsidRPr="00D3010F">
        <w:rPr>
          <w:iCs/>
        </w:rPr>
        <w:br/>
      </w:r>
    </w:p>
    <w:p w14:paraId="4FDAAA4C" w14:textId="124240CB" w:rsidR="00581CE3" w:rsidRDefault="00D3010F" w:rsidP="00D3010F">
      <w:pPr>
        <w:ind w:left="720"/>
      </w:pPr>
      <w:r>
        <w:t>which reduces to:</w:t>
      </w:r>
    </w:p>
    <w:p w14:paraId="12BC5A94" w14:textId="5EEBA765" w:rsidR="00D3010F" w:rsidRDefault="00D3010F" w:rsidP="00D3010F">
      <w:pPr>
        <w:ind w:left="720"/>
      </w:pPr>
    </w:p>
    <w:p w14:paraId="1181C069" w14:textId="686380A0" w:rsidR="00D3010F" w:rsidRDefault="00945352" w:rsidP="00D3010F">
      <w:pPr>
        <w:ind w:left="720"/>
      </w:pP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/(1-3V+3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3010F" w:rsidRPr="00D3010F">
        <w:rPr>
          <w:iCs/>
        </w:rPr>
        <w:tab/>
        <w:t>(</w:t>
      </w:r>
      <w:r w:rsidR="00D3010F">
        <w:rPr>
          <w:iCs/>
        </w:rPr>
        <w:t>4</w:t>
      </w:r>
      <w:r w:rsidR="00D3010F" w:rsidRPr="00D3010F">
        <w:rPr>
          <w:iCs/>
        </w:rPr>
        <w:t>)</w:t>
      </w:r>
    </w:p>
    <w:p w14:paraId="7719D25A" w14:textId="77777777" w:rsidR="00D3010F" w:rsidRDefault="00D3010F" w:rsidP="00D3010F">
      <w:pPr>
        <w:ind w:left="720"/>
      </w:pPr>
    </w:p>
    <w:p w14:paraId="3F6F890C" w14:textId="6A48FC68" w:rsidR="00945352" w:rsidRDefault="00945352" w:rsidP="00945352">
      <w:pPr>
        <w:pStyle w:val="ListParagraph"/>
        <w:numPr>
          <w:ilvl w:val="0"/>
          <w:numId w:val="23"/>
        </w:numPr>
      </w:pPr>
      <w:r>
        <w:t>This can, again, be generalized to</w:t>
      </w:r>
      <w:r w:rsidR="00581CE3">
        <w:t>:</w:t>
      </w:r>
      <w:r>
        <w:br/>
      </w:r>
      <w:r>
        <w:br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</m:sSup>
      </m:oMath>
      <w:r w:rsidRPr="00945352">
        <w:tab/>
        <w:t>(</w:t>
      </w:r>
      <w:r>
        <w:t>5</w:t>
      </w:r>
      <w:r w:rsidRPr="00945352">
        <w:t>)</w:t>
      </w:r>
      <w:r w:rsidRPr="00945352">
        <w:br/>
      </w:r>
    </w:p>
    <w:p w14:paraId="1C0C61EA" w14:textId="37DD1F3A" w:rsidR="00945352" w:rsidRDefault="00945352" w:rsidP="00945352">
      <w:pPr>
        <w:ind w:left="720"/>
      </w:pPr>
      <w:r>
        <w:t>I don’t know if or how that can be reduced to the functional form.</w:t>
      </w:r>
    </w:p>
    <w:p w14:paraId="1B204123" w14:textId="74B1E515" w:rsidR="00945352" w:rsidRDefault="00945352" w:rsidP="0001675E"/>
    <w:p w14:paraId="67AE4C30" w14:textId="5C57C0FE" w:rsidR="00786817" w:rsidRDefault="00786817" w:rsidP="0001675E">
      <w:r>
        <w:t xml:space="preserve">All of these are possible ways to express the ideal translation of votes into seats. We will examine three </w:t>
      </w:r>
      <w:r w:rsidR="0083207E">
        <w:t>below –</w:t>
      </w:r>
      <w:r>
        <w:t xml:space="preserve"> proportional (</w:t>
      </w:r>
      <m:oMath>
        <m:r>
          <w:rPr>
            <w:rFonts w:ascii="Cambria Math" w:hAnsi="Cambria Math"/>
          </w:rPr>
          <m:t>PR</m:t>
        </m:r>
      </m:oMath>
      <w:r>
        <w:t>), efficiency gap (</w:t>
      </w:r>
      <m:oMath>
        <m:r>
          <w:rPr>
            <w:rFonts w:ascii="Cambria Math" w:hAnsi="Cambria Math"/>
          </w:rPr>
          <m:t>EG</m:t>
        </m:r>
      </m:oMath>
      <w:r>
        <w:t>), and gamma (</w:t>
      </w:r>
      <m:oMath>
        <m:r>
          <w:rPr>
            <w:rFonts w:ascii="Cambria Math" w:hAnsi="Cambria Math"/>
          </w:rPr>
          <m:t>γ</m:t>
        </m:r>
      </m:oMath>
      <w:r>
        <w:t>)</w:t>
      </w:r>
      <w:r w:rsidR="0083207E">
        <w:t xml:space="preserve"> – in addition to four other prominent measures of bias – s</w:t>
      </w:r>
      <w:r w:rsidR="0083207E" w:rsidRPr="006A01AA">
        <w:t>eats bias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3207E">
        <w:t>)</w:t>
      </w:r>
      <w:r w:rsidR="0083207E">
        <w:t>, v</w:t>
      </w:r>
      <w:r w:rsidR="0083207E">
        <w:t>otes bias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83207E">
        <w:t>)</w:t>
      </w:r>
      <w:r w:rsidR="0083207E">
        <w:t>, g</w:t>
      </w:r>
      <w:r w:rsidR="0083207E">
        <w:t>eometric seats bias (</w:t>
      </w:r>
      <m:oMath>
        <m:r>
          <w:rPr>
            <w:rFonts w:ascii="Cambria Math" w:hAnsi="Cambria Math"/>
          </w:rPr>
          <m:t>β</m:t>
        </m:r>
      </m:oMath>
      <w:r w:rsidR="0083207E">
        <w:t>), and</w:t>
      </w:r>
      <w:r w:rsidR="0083207E">
        <w:t xml:space="preserve"> g</w:t>
      </w:r>
      <w:r w:rsidR="0083207E">
        <w:t>lobal symmetry (</w:t>
      </w:r>
      <m:oMath>
        <m:r>
          <w:rPr>
            <w:rFonts w:ascii="Cambria Math" w:hAnsi="Cambria Math"/>
          </w:rPr>
          <m:t>GS</m:t>
        </m:r>
      </m:oMath>
      <w:r w:rsidR="0083207E">
        <w:t>)</w:t>
      </w:r>
      <w:r w:rsidR="0083207E">
        <w:t xml:space="preserve"> – and the three measures of symmetry discussed in the previous section – d</w:t>
      </w:r>
      <w:r w:rsidR="0083207E">
        <w:t>eclination (</w:t>
      </w:r>
      <m:oMath>
        <m:r>
          <w:rPr>
            <w:rFonts w:ascii="Cambria Math" w:hAnsi="Cambria Math"/>
          </w:rPr>
          <m:t>δ</m:t>
        </m:r>
      </m:oMath>
      <w:r w:rsidR="0083207E">
        <w:t>)</w:t>
      </w:r>
      <w:r w:rsidR="0083207E">
        <w:t>, l</w:t>
      </w:r>
      <w:r w:rsidR="0083207E">
        <w:t>opsided outcomes (</w:t>
      </w:r>
      <m:oMath>
        <m:r>
          <w:rPr>
            <w:rFonts w:ascii="Cambria Math" w:hAnsi="Cambria Math"/>
          </w:rPr>
          <m:t>LO</m:t>
        </m:r>
      </m:oMath>
      <w:r w:rsidR="0083207E">
        <w:t>), and</w:t>
      </w:r>
      <w:r w:rsidR="0083207E">
        <w:t xml:space="preserve"> m</w:t>
      </w:r>
      <w:r w:rsidR="0083207E">
        <w:t>ean–median (</w:t>
      </w:r>
      <m:oMath>
        <m:r>
          <w:rPr>
            <w:rFonts w:ascii="Cambria Math" w:hAnsi="Cambria Math"/>
          </w:rPr>
          <m:t>MM</m:t>
        </m:r>
      </m:oMath>
      <w:r w:rsidR="0083207E">
        <w:t>)</w:t>
      </w:r>
      <w:r w:rsidR="0083207E">
        <w:t>.</w:t>
      </w:r>
    </w:p>
    <w:p w14:paraId="43D49301" w14:textId="4D186C26" w:rsidR="002C57F3" w:rsidRDefault="002C57F3" w:rsidP="0001675E"/>
    <w:p w14:paraId="3CF9BF07" w14:textId="4893FF39" w:rsidR="002C57F3" w:rsidRDefault="002C57F3" w:rsidP="00D86B16">
      <w:pPr>
        <w:pStyle w:val="Heading1"/>
      </w:pPr>
      <w:r>
        <w:t>3–5. Analysis</w:t>
      </w:r>
      <w:r w:rsidR="00523C6A">
        <w:t xml:space="preserve"> of 2012, 2020, and Hypothetical Plans</w:t>
      </w:r>
    </w:p>
    <w:p w14:paraId="7FF194F3" w14:textId="70B310D6" w:rsidR="00F438D3" w:rsidRDefault="00F438D3" w:rsidP="0001675E"/>
    <w:p w14:paraId="2099C77F" w14:textId="725E6CC6" w:rsidR="00523C6A" w:rsidRPr="00523C6A" w:rsidRDefault="00523C6A" w:rsidP="0001675E">
      <w:pPr>
        <w:rPr>
          <w:i/>
          <w:iCs/>
        </w:rPr>
      </w:pPr>
      <w:r w:rsidRPr="00523C6A">
        <w:rPr>
          <w:i/>
          <w:iCs/>
        </w:rPr>
        <w:t>[Largely as before but edited to be consistent with new Sections 1–2.]</w:t>
      </w:r>
    </w:p>
    <w:p w14:paraId="70CAAB25" w14:textId="77777777" w:rsidR="002C57F3" w:rsidRDefault="002C57F3" w:rsidP="0001675E"/>
    <w:p w14:paraId="5B549E8E" w14:textId="77777777" w:rsidR="00F438D3" w:rsidRPr="00614413" w:rsidRDefault="00F438D3" w:rsidP="00F438D3">
      <w:pPr>
        <w:rPr>
          <w:b/>
          <w:bCs/>
        </w:rPr>
      </w:pPr>
      <w:r>
        <w:rPr>
          <w:rStyle w:val="Heading1Char"/>
        </w:rPr>
        <w:t>References</w:t>
      </w:r>
    </w:p>
    <w:p w14:paraId="58538FE4" w14:textId="29A5809B" w:rsidR="00F438D3" w:rsidRDefault="00F438D3" w:rsidP="00F438D3"/>
    <w:p w14:paraId="4D4386CF" w14:textId="6156384E" w:rsidR="00523C6A" w:rsidRPr="00523C6A" w:rsidRDefault="00523C6A" w:rsidP="00F438D3">
      <w:pPr>
        <w:rPr>
          <w:i/>
          <w:iCs/>
        </w:rPr>
      </w:pPr>
      <w:r w:rsidRPr="00523C6A">
        <w:rPr>
          <w:i/>
          <w:iCs/>
        </w:rPr>
        <w:t>[</w:t>
      </w:r>
      <w:r w:rsidR="003663AB">
        <w:rPr>
          <w:i/>
          <w:iCs/>
        </w:rPr>
        <w:t>Expanded but still</w:t>
      </w:r>
      <w:r>
        <w:rPr>
          <w:i/>
          <w:iCs/>
        </w:rPr>
        <w:t xml:space="preserve"> partial</w:t>
      </w:r>
      <w:r w:rsidR="00A262C7">
        <w:rPr>
          <w:i/>
          <w:iCs/>
        </w:rPr>
        <w:t xml:space="preserve"> &amp; probably not properly formatted</w:t>
      </w:r>
      <w:r w:rsidRPr="00523C6A">
        <w:rPr>
          <w:i/>
          <w:iCs/>
        </w:rPr>
        <w:t>]</w:t>
      </w:r>
    </w:p>
    <w:p w14:paraId="6404DD2A" w14:textId="77777777" w:rsidR="00523C6A" w:rsidRDefault="00523C6A" w:rsidP="00F438D3"/>
    <w:p w14:paraId="18C403A9" w14:textId="77777777" w:rsidR="00F438D3" w:rsidRDefault="00F438D3" w:rsidP="00F438D3">
      <w:r>
        <w:t>Dave’s Redistricting App (</w:t>
      </w:r>
      <w:hyperlink r:id="rId12" w:history="1">
        <w:r w:rsidRPr="000E644D">
          <w:rPr>
            <w:rStyle w:val="Hyperlink"/>
          </w:rPr>
          <w:t>https://bit.ly/3FI3AHa</w:t>
        </w:r>
      </w:hyperlink>
      <w:r>
        <w:t>).</w:t>
      </w:r>
    </w:p>
    <w:p w14:paraId="32CD181A" w14:textId="77777777" w:rsidR="00F438D3" w:rsidRDefault="00F438D3" w:rsidP="00F438D3"/>
    <w:p w14:paraId="01226FA5" w14:textId="77777777" w:rsidR="00F438D3" w:rsidRDefault="00F438D3" w:rsidP="00F438D3">
      <w:pPr>
        <w:rPr>
          <w:rStyle w:val="Hyperlink"/>
        </w:rPr>
      </w:pPr>
      <w:r w:rsidRPr="00AC1745">
        <w:t xml:space="preserve">Michael D. McDonald, Daniel B. </w:t>
      </w:r>
      <w:proofErr w:type="spellStart"/>
      <w:r w:rsidRPr="00AC1745">
        <w:t>Magleby</w:t>
      </w:r>
      <w:proofErr w:type="spellEnd"/>
      <w:r w:rsidRPr="00AC1745">
        <w:t xml:space="preserve">, Jonathan </w:t>
      </w:r>
      <w:proofErr w:type="spellStart"/>
      <w:r w:rsidRPr="00AC1745">
        <w:t>Krasno</w:t>
      </w:r>
      <w:proofErr w:type="spellEnd"/>
      <w:r w:rsidRPr="00AC1745">
        <w:t>, Shawn J. Donahue, and Robin Best</w:t>
      </w:r>
      <w:r>
        <w:t>, “</w:t>
      </w:r>
      <w:r w:rsidRPr="00F70949">
        <w:t>Making a Case for Two Paths Forward in Light of</w:t>
      </w:r>
      <w:r w:rsidRPr="001F3CCF">
        <w:rPr>
          <w:i/>
          <w:iCs/>
        </w:rPr>
        <w:t xml:space="preserve"> Gill v. </w:t>
      </w:r>
      <w:proofErr w:type="spellStart"/>
      <w:r w:rsidRPr="001F3CCF">
        <w:rPr>
          <w:i/>
          <w:iCs/>
        </w:rPr>
        <w:t>Whitford</w:t>
      </w:r>
      <w:proofErr w:type="spellEnd"/>
      <w:r>
        <w:t xml:space="preserve">,” </w:t>
      </w:r>
      <w:r w:rsidRPr="00AC1745">
        <w:t>Election Law Journal: Rules, Politics, and Policy</w:t>
      </w:r>
      <w:r>
        <w:t xml:space="preserve">, </w:t>
      </w:r>
      <w:r w:rsidRPr="00AC1745">
        <w:t>Dec 2018</w:t>
      </w:r>
      <w:r>
        <w:t xml:space="preserve">, </w:t>
      </w:r>
      <w:r w:rsidRPr="00AC1745">
        <w:t>315-327</w:t>
      </w:r>
      <w:r>
        <w:t xml:space="preserve">, </w:t>
      </w:r>
      <w:hyperlink r:id="rId13" w:history="1">
        <w:r w:rsidRPr="00AC1745">
          <w:rPr>
            <w:rStyle w:val="Hyperlink"/>
          </w:rPr>
          <w:t>http://doi.org/10.1089/elj.2018.0527</w:t>
        </w:r>
      </w:hyperlink>
    </w:p>
    <w:p w14:paraId="2121CA63" w14:textId="77777777" w:rsidR="00F438D3" w:rsidRDefault="00F438D3" w:rsidP="00F438D3">
      <w:pPr>
        <w:rPr>
          <w:rStyle w:val="Hyperlink"/>
        </w:rPr>
      </w:pPr>
    </w:p>
    <w:p w14:paraId="285DE958" w14:textId="77777777" w:rsidR="00F438D3" w:rsidRPr="00737E11" w:rsidRDefault="00F438D3" w:rsidP="00F438D3">
      <w:pPr>
        <w:tabs>
          <w:tab w:val="clear" w:pos="1440"/>
          <w:tab w:val="clear" w:pos="9360"/>
        </w:tabs>
        <w:rPr>
          <w:rFonts w:eastAsia="Times New Roman" w:cstheme="minorHAnsi"/>
        </w:rPr>
      </w:pPr>
      <w:r w:rsidRPr="00737E11">
        <w:rPr>
          <w:rFonts w:eastAsia="Times New Roman" w:cstheme="minorHAnsi"/>
        </w:rPr>
        <w:lastRenderedPageBreak/>
        <w:t>Bernard</w:t>
      </w:r>
      <w:r>
        <w:rPr>
          <w:rFonts w:eastAsia="Times New Roman" w:cstheme="minorHAnsi"/>
        </w:rPr>
        <w:t xml:space="preserve"> </w:t>
      </w:r>
      <w:proofErr w:type="spellStart"/>
      <w:r w:rsidRPr="00737E11">
        <w:rPr>
          <w:rFonts w:eastAsia="Times New Roman" w:cstheme="minorHAnsi"/>
        </w:rPr>
        <w:t>Grofman</w:t>
      </w:r>
      <w:proofErr w:type="spellEnd"/>
      <w:r>
        <w:rPr>
          <w:rFonts w:eastAsia="Times New Roman" w:cstheme="minorHAnsi"/>
        </w:rPr>
        <w:t xml:space="preserve">, </w:t>
      </w:r>
      <w:r w:rsidRPr="00737E11">
        <w:rPr>
          <w:rFonts w:eastAsia="Times New Roman" w:cstheme="minorHAnsi"/>
        </w:rPr>
        <w:t>“Measures of Bias and Proportionality in Seats-Votes Relationships</w:t>
      </w:r>
      <w:r>
        <w:rPr>
          <w:rFonts w:eastAsia="Times New Roman" w:cstheme="minorHAnsi"/>
        </w:rPr>
        <w:t>,</w:t>
      </w:r>
      <w:r w:rsidRPr="00737E11">
        <w:rPr>
          <w:rFonts w:eastAsia="Times New Roman" w:cstheme="minorHAnsi"/>
        </w:rPr>
        <w:t>” Political Methodology 9, no. 3 (1983): 295–327</w:t>
      </w:r>
      <w:r>
        <w:rPr>
          <w:rFonts w:eastAsia="Times New Roman" w:cstheme="minorHAnsi"/>
        </w:rPr>
        <w:t>,</w:t>
      </w:r>
      <w:r w:rsidRPr="00737E11">
        <w:rPr>
          <w:rFonts w:eastAsia="Times New Roman" w:cstheme="minorHAnsi"/>
        </w:rPr>
        <w:t xml:space="preserve"> </w:t>
      </w:r>
      <w:hyperlink r:id="rId14" w:history="1">
        <w:r w:rsidRPr="00737E11">
          <w:rPr>
            <w:rStyle w:val="Hyperlink"/>
            <w:rFonts w:eastAsia="Times New Roman" w:cstheme="minorHAnsi"/>
          </w:rPr>
          <w:t>http://www.jstor.org/stable/25791195</w:t>
        </w:r>
      </w:hyperlink>
      <w:r w:rsidRPr="00737E11">
        <w:rPr>
          <w:rFonts w:eastAsia="Times New Roman" w:cstheme="minorHAnsi"/>
        </w:rPr>
        <w:t>.</w:t>
      </w:r>
    </w:p>
    <w:p w14:paraId="35CDAED9" w14:textId="77777777" w:rsidR="00F438D3" w:rsidRDefault="00F438D3" w:rsidP="00F438D3"/>
    <w:p w14:paraId="2EB97CCF" w14:textId="77777777" w:rsidR="00F438D3" w:rsidRDefault="00F438D3" w:rsidP="00F438D3">
      <w:r w:rsidRPr="0036549E">
        <w:t xml:space="preserve">Anthony McGann, Charles Anthony Smith, </w:t>
      </w:r>
      <w:r>
        <w:t xml:space="preserve">Michael </w:t>
      </w:r>
      <w:proofErr w:type="spellStart"/>
      <w:r w:rsidRPr="0036549E">
        <w:t>Latner</w:t>
      </w:r>
      <w:proofErr w:type="spellEnd"/>
      <w:r w:rsidRPr="0036549E">
        <w:t xml:space="preserve">, </w:t>
      </w:r>
      <w:r>
        <w:t>and Alex</w:t>
      </w:r>
      <w:r w:rsidRPr="0036549E">
        <w:t xml:space="preserve"> Keena</w:t>
      </w:r>
      <w:r>
        <w:t>,</w:t>
      </w:r>
      <w:r w:rsidRPr="0036549E">
        <w:t xml:space="preserve"> (2016). </w:t>
      </w:r>
      <w:r w:rsidRPr="0036549E">
        <w:rPr>
          <w:i/>
          <w:iCs/>
        </w:rPr>
        <w:t>Gerrymandering in America: The House of Representatives, the Supreme Court and the Future of Popular Sovereignty</w:t>
      </w:r>
      <w:r>
        <w:t>,</w:t>
      </w:r>
      <w:r w:rsidRPr="0036549E">
        <w:t xml:space="preserve"> Cambridge University</w:t>
      </w:r>
      <w:r>
        <w:t xml:space="preserve"> </w:t>
      </w:r>
      <w:r w:rsidRPr="0036549E">
        <w:t>Press</w:t>
      </w:r>
      <w:r>
        <w:t xml:space="preserve">, </w:t>
      </w:r>
      <w:hyperlink r:id="rId15" w:history="1">
        <w:r w:rsidRPr="0036549E">
          <w:rPr>
            <w:rStyle w:val="Hyperlink"/>
          </w:rPr>
          <w:t>https://doi.org/10.1017/CBO9781316534342</w:t>
        </w:r>
      </w:hyperlink>
      <w:r>
        <w:t xml:space="preserve"> </w:t>
      </w:r>
    </w:p>
    <w:p w14:paraId="1CF5D563" w14:textId="77777777" w:rsidR="00F438D3" w:rsidRDefault="00F438D3" w:rsidP="00F438D3"/>
    <w:p w14:paraId="1E07F5AF" w14:textId="77777777" w:rsidR="00F438D3" w:rsidRDefault="00F438D3" w:rsidP="00F438D3">
      <w:pPr>
        <w:rPr>
          <w:rStyle w:val="Hyperlink"/>
        </w:rPr>
      </w:pPr>
      <w:r w:rsidRPr="0061420B">
        <w:t>John F. Nagle and Alec Ramsay</w:t>
      </w:r>
      <w:r>
        <w:t>, “</w:t>
      </w:r>
      <w:r w:rsidRPr="00F70949">
        <w:t>On Measuring Two-Party Partisan Bias in Unbalanced States,</w:t>
      </w:r>
      <w:r>
        <w:t>”</w:t>
      </w:r>
      <w:r w:rsidRPr="00F70949">
        <w:t xml:space="preserve"> </w:t>
      </w:r>
      <w:r w:rsidRPr="0061420B">
        <w:t>Election Law Journal: Rules, Politics, and Policy</w:t>
      </w:r>
      <w:r>
        <w:t xml:space="preserve">, </w:t>
      </w:r>
      <w:r w:rsidRPr="0061420B">
        <w:t>Mar 2021</w:t>
      </w:r>
      <w:r>
        <w:t xml:space="preserve">, </w:t>
      </w:r>
      <w:r w:rsidRPr="0061420B">
        <w:t>116-138</w:t>
      </w:r>
      <w:r>
        <w:t xml:space="preserve">, </w:t>
      </w:r>
      <w:hyperlink r:id="rId16" w:history="1">
        <w:r w:rsidRPr="0061420B">
          <w:rPr>
            <w:rStyle w:val="Hyperlink"/>
          </w:rPr>
          <w:t>http://doi.org/10.1089/elj.2020.0674</w:t>
        </w:r>
      </w:hyperlink>
    </w:p>
    <w:p w14:paraId="3268EF53" w14:textId="77777777" w:rsidR="00F438D3" w:rsidRDefault="00F438D3" w:rsidP="00F438D3">
      <w:pPr>
        <w:rPr>
          <w:rStyle w:val="Hyperlink"/>
        </w:rPr>
      </w:pPr>
    </w:p>
    <w:p w14:paraId="7EB21831" w14:textId="77777777" w:rsidR="00F438D3" w:rsidRDefault="00F438D3" w:rsidP="00F438D3">
      <w:pPr>
        <w:rPr>
          <w:rFonts w:cstheme="minorHAnsi"/>
          <w:shd w:val="clear" w:color="auto" w:fill="FFFFFF"/>
        </w:rPr>
      </w:pPr>
      <w:r w:rsidRPr="0051028C">
        <w:rPr>
          <w:rFonts w:cstheme="minorHAnsi"/>
          <w:shd w:val="clear" w:color="auto" w:fill="FFFFFF"/>
        </w:rPr>
        <w:t xml:space="preserve">Nicholas Stephanopoulos </w:t>
      </w:r>
      <w:r>
        <w:rPr>
          <w:rFonts w:cstheme="minorHAnsi"/>
          <w:shd w:val="clear" w:color="auto" w:fill="FFFFFF"/>
        </w:rPr>
        <w:t>and</w:t>
      </w:r>
      <w:r w:rsidRPr="0051028C">
        <w:rPr>
          <w:rFonts w:cstheme="minorHAnsi"/>
          <w:shd w:val="clear" w:color="auto" w:fill="FFFFFF"/>
        </w:rPr>
        <w:t xml:space="preserve"> Eric McGhee, </w:t>
      </w:r>
      <w:r>
        <w:rPr>
          <w:rFonts w:cstheme="minorHAnsi"/>
          <w:shd w:val="clear" w:color="auto" w:fill="FFFFFF"/>
        </w:rPr>
        <w:t>“</w:t>
      </w:r>
      <w:r w:rsidRPr="00F70949">
        <w:rPr>
          <w:rFonts w:cstheme="minorHAnsi"/>
          <w:shd w:val="clear" w:color="auto" w:fill="FFFFFF"/>
        </w:rPr>
        <w:t>The Measure of a Metric: The Debate Over Quantifying Partisan Gerrymandering,</w:t>
      </w:r>
      <w:r>
        <w:rPr>
          <w:rFonts w:cstheme="minorHAnsi"/>
          <w:shd w:val="clear" w:color="auto" w:fill="FFFFFF"/>
        </w:rPr>
        <w:t>”</w:t>
      </w:r>
      <w:r w:rsidRPr="0051028C">
        <w:rPr>
          <w:rFonts w:cstheme="minorHAnsi"/>
          <w:shd w:val="clear" w:color="auto" w:fill="FFFFFF"/>
        </w:rPr>
        <w:t xml:space="preserve"> 70 Stanford Law Review 1503 (2018). </w:t>
      </w:r>
    </w:p>
    <w:p w14:paraId="1157163A" w14:textId="77777777" w:rsidR="00F438D3" w:rsidRDefault="00F438D3" w:rsidP="00F438D3">
      <w:pPr>
        <w:rPr>
          <w:rFonts w:cstheme="minorHAnsi"/>
          <w:shd w:val="clear" w:color="auto" w:fill="FFFFFF"/>
        </w:rPr>
      </w:pPr>
    </w:p>
    <w:p w14:paraId="54FC5D73" w14:textId="77777777" w:rsidR="00F438D3" w:rsidRDefault="00F438D3" w:rsidP="00F438D3">
      <w:pPr>
        <w:tabs>
          <w:tab w:val="clear" w:pos="1440"/>
          <w:tab w:val="clear" w:pos="9360"/>
        </w:tabs>
        <w:rPr>
          <w:rFonts w:eastAsia="Times New Roman" w:cstheme="minorHAnsi"/>
        </w:rPr>
      </w:pPr>
      <w:r w:rsidRPr="008E69A4">
        <w:rPr>
          <w:rFonts w:eastAsia="Times New Roman" w:cstheme="minorHAnsi"/>
        </w:rPr>
        <w:t>Edward R.</w:t>
      </w:r>
      <w:r>
        <w:rPr>
          <w:rFonts w:eastAsia="Times New Roman" w:cstheme="minorHAnsi"/>
        </w:rPr>
        <w:t xml:space="preserve"> </w:t>
      </w:r>
      <w:r w:rsidRPr="008E69A4">
        <w:rPr>
          <w:rFonts w:eastAsia="Times New Roman" w:cstheme="minorHAnsi"/>
        </w:rPr>
        <w:t>Tufte, “The Relationship between Seats and Votes in Two-Party Systems</w:t>
      </w:r>
      <w:r>
        <w:rPr>
          <w:rFonts w:eastAsia="Times New Roman" w:cstheme="minorHAnsi"/>
        </w:rPr>
        <w:t>,</w:t>
      </w:r>
      <w:r w:rsidRPr="008E69A4">
        <w:rPr>
          <w:rFonts w:eastAsia="Times New Roman" w:cstheme="minorHAnsi"/>
        </w:rPr>
        <w:t>” The American Political Science Review 67, no. 2 (1973): 540–54</w:t>
      </w:r>
      <w:r>
        <w:rPr>
          <w:rFonts w:eastAsia="Times New Roman" w:cstheme="minorHAnsi"/>
        </w:rPr>
        <w:t>,</w:t>
      </w:r>
      <w:r w:rsidRPr="008E69A4">
        <w:rPr>
          <w:rFonts w:eastAsia="Times New Roman" w:cstheme="minorHAnsi"/>
        </w:rPr>
        <w:t xml:space="preserve"> </w:t>
      </w:r>
      <w:hyperlink r:id="rId17" w:history="1">
        <w:r w:rsidRPr="008E69A4">
          <w:rPr>
            <w:rStyle w:val="Hyperlink"/>
            <w:rFonts w:eastAsia="Times New Roman" w:cstheme="minorHAnsi"/>
          </w:rPr>
          <w:t>https://doi.org/10.2307/1958782</w:t>
        </w:r>
      </w:hyperlink>
      <w:r w:rsidRPr="008E69A4">
        <w:rPr>
          <w:rFonts w:eastAsia="Times New Roman" w:cstheme="minorHAnsi"/>
        </w:rPr>
        <w:t>.</w:t>
      </w:r>
    </w:p>
    <w:p w14:paraId="7099EF53" w14:textId="77777777" w:rsidR="00F438D3" w:rsidRDefault="00F438D3" w:rsidP="00F438D3">
      <w:pPr>
        <w:tabs>
          <w:tab w:val="clear" w:pos="1440"/>
          <w:tab w:val="clear" w:pos="9360"/>
        </w:tabs>
        <w:rPr>
          <w:rFonts w:eastAsia="Times New Roman" w:cstheme="minorHAnsi"/>
        </w:rPr>
      </w:pPr>
    </w:p>
    <w:p w14:paraId="5C7F283B" w14:textId="77777777" w:rsidR="00F438D3" w:rsidRPr="00B01A82" w:rsidRDefault="00F438D3" w:rsidP="00F438D3">
      <w:pPr>
        <w:tabs>
          <w:tab w:val="clear" w:pos="1440"/>
          <w:tab w:val="clear" w:pos="9360"/>
        </w:tabs>
        <w:rPr>
          <w:rFonts w:eastAsia="Times New Roman" w:cstheme="minorHAnsi"/>
        </w:rPr>
      </w:pPr>
      <w:r w:rsidRPr="00B01A82">
        <w:rPr>
          <w:rFonts w:eastAsia="Times New Roman" w:cstheme="minorHAnsi"/>
        </w:rPr>
        <w:t xml:space="preserve">Samuel </w:t>
      </w:r>
      <w:r>
        <w:rPr>
          <w:rFonts w:eastAsia="Times New Roman" w:cstheme="minorHAnsi"/>
        </w:rPr>
        <w:t xml:space="preserve">Wang, Sandra J. </w:t>
      </w:r>
      <w:r w:rsidRPr="00B01A82">
        <w:rPr>
          <w:rFonts w:eastAsia="Times New Roman" w:cstheme="minorHAnsi"/>
        </w:rPr>
        <w:t xml:space="preserve">Chen, </w:t>
      </w:r>
      <w:r>
        <w:rPr>
          <w:rFonts w:eastAsia="Times New Roman" w:cstheme="minorHAnsi"/>
        </w:rPr>
        <w:t>Richard</w:t>
      </w:r>
      <w:r w:rsidRPr="00B01A82">
        <w:rPr>
          <w:rFonts w:eastAsia="Times New Roman" w:cstheme="minorHAnsi"/>
        </w:rPr>
        <w:t xml:space="preserve"> Ober, </w:t>
      </w:r>
      <w:r>
        <w:rPr>
          <w:rFonts w:eastAsia="Times New Roman" w:cstheme="minorHAnsi"/>
        </w:rPr>
        <w:t>Bernard</w:t>
      </w:r>
      <w:r w:rsidRPr="00B01A82">
        <w:rPr>
          <w:rFonts w:eastAsia="Times New Roman" w:cstheme="minorHAnsi"/>
        </w:rPr>
        <w:t xml:space="preserve"> </w:t>
      </w:r>
      <w:proofErr w:type="spellStart"/>
      <w:r w:rsidRPr="00B01A82">
        <w:rPr>
          <w:rFonts w:eastAsia="Times New Roman" w:cstheme="minorHAnsi"/>
        </w:rPr>
        <w:t>Grofman</w:t>
      </w:r>
      <w:proofErr w:type="spellEnd"/>
      <w:r w:rsidRPr="00B01A82">
        <w:rPr>
          <w:rFonts w:eastAsia="Times New Roman" w:cstheme="minorHAnsi"/>
        </w:rPr>
        <w:t xml:space="preserve">, </w:t>
      </w:r>
      <w:r>
        <w:rPr>
          <w:rFonts w:eastAsia="Times New Roman" w:cstheme="minorHAnsi"/>
        </w:rPr>
        <w:t>Kyles</w:t>
      </w:r>
      <w:r w:rsidRPr="00B01A82">
        <w:rPr>
          <w:rFonts w:eastAsia="Times New Roman" w:cstheme="minorHAnsi"/>
        </w:rPr>
        <w:t xml:space="preserve"> Barnes, </w:t>
      </w:r>
      <w:r>
        <w:rPr>
          <w:rFonts w:eastAsia="Times New Roman" w:cstheme="minorHAnsi"/>
        </w:rPr>
        <w:t>and Jonathan</w:t>
      </w:r>
      <w:r w:rsidRPr="00B01A82">
        <w:rPr>
          <w:rFonts w:eastAsia="Times New Roman" w:cstheme="minorHAnsi"/>
        </w:rPr>
        <w:t xml:space="preserve"> </w:t>
      </w:r>
      <w:proofErr w:type="spellStart"/>
      <w:r w:rsidRPr="00B01A82">
        <w:rPr>
          <w:rFonts w:eastAsia="Times New Roman" w:cstheme="minorHAnsi"/>
        </w:rPr>
        <w:t>Cervas</w:t>
      </w:r>
      <w:proofErr w:type="spellEnd"/>
      <w:r w:rsidRPr="00B01A82">
        <w:rPr>
          <w:rFonts w:eastAsia="Times New Roman" w:cstheme="minorHAnsi"/>
        </w:rPr>
        <w:t xml:space="preserve">, </w:t>
      </w:r>
      <w:r>
        <w:rPr>
          <w:rFonts w:eastAsia="Times New Roman" w:cstheme="minorHAnsi"/>
        </w:rPr>
        <w:t>“</w:t>
      </w:r>
      <w:r w:rsidRPr="00B01A82">
        <w:rPr>
          <w:rFonts w:eastAsia="Times New Roman" w:cstheme="minorHAnsi"/>
        </w:rPr>
        <w:t xml:space="preserve">Turning Communities </w:t>
      </w:r>
      <w:proofErr w:type="gramStart"/>
      <w:r w:rsidRPr="00B01A82">
        <w:rPr>
          <w:rFonts w:eastAsia="Times New Roman" w:cstheme="minorHAnsi"/>
        </w:rPr>
        <w:t>Of</w:t>
      </w:r>
      <w:proofErr w:type="gramEnd"/>
      <w:r w:rsidRPr="00B01A82">
        <w:rPr>
          <w:rFonts w:eastAsia="Times New Roman" w:cstheme="minorHAnsi"/>
        </w:rPr>
        <w:t xml:space="preserve"> Interest Into A Rigorous Standard For Fair Districting</w:t>
      </w:r>
      <w:r>
        <w:rPr>
          <w:rFonts w:eastAsia="Times New Roman" w:cstheme="minorHAnsi"/>
        </w:rPr>
        <w:t>”</w:t>
      </w:r>
      <w:r w:rsidRPr="00B01A82">
        <w:rPr>
          <w:rFonts w:eastAsia="Times New Roman" w:cstheme="minorHAnsi"/>
        </w:rPr>
        <w:t xml:space="preserve"> (March 14, 2021). Stanford Journal of Civil Rights and Civil Liberties, Forthcoming, Available at SSRN: </w:t>
      </w:r>
      <w:hyperlink r:id="rId18" w:tgtFrame="_blank" w:history="1">
        <w:r w:rsidRPr="00B01A82">
          <w:rPr>
            <w:rStyle w:val="Hyperlink"/>
            <w:rFonts w:eastAsia="Times New Roman" w:cstheme="minorHAnsi"/>
          </w:rPr>
          <w:t>https://ssrn.com/abstract=3828800</w:t>
        </w:r>
      </w:hyperlink>
      <w:r>
        <w:rPr>
          <w:rFonts w:eastAsia="Times New Roman" w:cstheme="minorHAnsi"/>
        </w:rPr>
        <w:t>.</w:t>
      </w:r>
    </w:p>
    <w:p w14:paraId="15373AA0" w14:textId="77777777" w:rsidR="00F438D3" w:rsidRPr="0051028C" w:rsidRDefault="00F438D3" w:rsidP="00F438D3">
      <w:pPr>
        <w:rPr>
          <w:rFonts w:cstheme="minorHAnsi"/>
          <w:shd w:val="clear" w:color="auto" w:fill="FFFFFF"/>
        </w:rPr>
      </w:pPr>
    </w:p>
    <w:p w14:paraId="02D0C1C7" w14:textId="77777777" w:rsidR="00F438D3" w:rsidRPr="00DA1158" w:rsidRDefault="00F438D3" w:rsidP="00F438D3">
      <w:r w:rsidRPr="00DA1158">
        <w:t>Gregory S. Warrington</w:t>
      </w:r>
      <w:r>
        <w:t>, “</w:t>
      </w:r>
      <w:r w:rsidRPr="00F70949">
        <w:t>A Comparison of Partisan-Gerrymandering Measures</w:t>
      </w:r>
      <w:r>
        <w:t>,”</w:t>
      </w:r>
      <w:r>
        <w:rPr>
          <w:i/>
          <w:iCs/>
        </w:rPr>
        <w:t xml:space="preserve"> </w:t>
      </w:r>
      <w:r w:rsidRPr="00DA1158">
        <w:t>Election Law Journal: Rules, Politics, and Policy</w:t>
      </w:r>
      <w:r>
        <w:t xml:space="preserve">, </w:t>
      </w:r>
      <w:r w:rsidRPr="00DA1158">
        <w:t>Sep 2019</w:t>
      </w:r>
      <w:r>
        <w:t xml:space="preserve">, </w:t>
      </w:r>
      <w:r w:rsidRPr="00DA1158">
        <w:t>262-281</w:t>
      </w:r>
      <w:r>
        <w:t xml:space="preserve">, </w:t>
      </w:r>
      <w:hyperlink r:id="rId19" w:history="1">
        <w:r w:rsidRPr="00DA1158">
          <w:rPr>
            <w:rStyle w:val="Hyperlink"/>
          </w:rPr>
          <w:t>http://doi.org/10.1089/elj.2018.0508</w:t>
        </w:r>
      </w:hyperlink>
      <w:r>
        <w:rPr>
          <w:rStyle w:val="Hyperlink"/>
        </w:rPr>
        <w:t>.</w:t>
      </w:r>
    </w:p>
    <w:p w14:paraId="1078D122" w14:textId="77777777" w:rsidR="00786817" w:rsidRDefault="00786817" w:rsidP="0001675E"/>
    <w:p w14:paraId="7D29FC40" w14:textId="6A9BD559" w:rsidR="00D82F6E" w:rsidRPr="001E5BCE" w:rsidRDefault="00D82F6E" w:rsidP="0001675E">
      <w:pPr>
        <w:rPr>
          <w:sz w:val="20"/>
          <w:szCs w:val="20"/>
        </w:rPr>
      </w:pPr>
      <w:r w:rsidRPr="001E5BCE">
        <w:rPr>
          <w:sz w:val="20"/>
          <w:szCs w:val="20"/>
        </w:rPr>
        <w:t>[end]</w:t>
      </w:r>
    </w:p>
    <w:sectPr w:rsidR="00D82F6E" w:rsidRPr="001E5BCE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1-11-29T07:45:00Z" w:initials="AR">
    <w:p w14:paraId="11F4C50E" w14:textId="24EEB3E8" w:rsidR="006746EE" w:rsidRDefault="006746EE">
      <w:pPr>
        <w:pStyle w:val="CommentText"/>
      </w:pPr>
      <w:r>
        <w:rPr>
          <w:rStyle w:val="CommentReference"/>
        </w:rPr>
        <w:annotationRef/>
      </w:r>
      <w:r w:rsidR="0049048E">
        <w:t>I’m not sure what to call this, but it’s the key section setting up the analyses of plans in Sections 3–5.</w:t>
      </w:r>
    </w:p>
  </w:comment>
  <w:comment w:id="1" w:author="Alec Ramsay" w:date="2021-11-29T08:00:00Z" w:initials="AR">
    <w:p w14:paraId="54491494" w14:textId="465CE4D7" w:rsidR="00654550" w:rsidRDefault="00654550">
      <w:pPr>
        <w:pStyle w:val="CommentText"/>
      </w:pPr>
      <w:r>
        <w:rPr>
          <w:rStyle w:val="CommentReference"/>
        </w:rPr>
        <w:annotationRef/>
      </w:r>
      <w:r>
        <w:t>“Properties” seems better than “axioms.” Maybe “principles” though.</w:t>
      </w:r>
    </w:p>
  </w:comment>
  <w:comment w:id="2" w:author="Alec Ramsay" w:date="2021-11-29T08:08:00Z" w:initials="AR">
    <w:p w14:paraId="0ABC8CC0" w14:textId="0486051C" w:rsidR="000219A4" w:rsidRDefault="000219A4">
      <w:pPr>
        <w:pStyle w:val="CommentText"/>
      </w:pPr>
      <w:r>
        <w:rPr>
          <w:rStyle w:val="CommentReference"/>
        </w:rPr>
        <w:annotationRef/>
      </w:r>
      <w:r>
        <w:t>Can this be expressed as a one-liner, like the others?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F4C50E" w15:done="0"/>
  <w15:commentEx w15:paraId="54491494" w15:done="0"/>
  <w15:commentEx w15:paraId="0ABC8C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037D" w16cex:dateUtc="2021-11-29T15:45:00Z"/>
  <w16cex:commentExtensible w16cex:durableId="254F070C" w16cex:dateUtc="2021-11-29T16:00:00Z"/>
  <w16cex:commentExtensible w16cex:durableId="254F08F5" w16cex:dateUtc="2021-11-29T1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F4C50E" w16cid:durableId="254F037D"/>
  <w16cid:commentId w16cid:paraId="54491494" w16cid:durableId="254F070C"/>
  <w16cid:commentId w16cid:paraId="0ABC8CC0" w16cid:durableId="254F08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15B1" w14:textId="77777777" w:rsidR="002131E6" w:rsidRDefault="002131E6" w:rsidP="0001675E">
      <w:r>
        <w:separator/>
      </w:r>
    </w:p>
  </w:endnote>
  <w:endnote w:type="continuationSeparator" w:id="0">
    <w:p w14:paraId="661BC374" w14:textId="77777777" w:rsidR="002131E6" w:rsidRDefault="002131E6" w:rsidP="000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51845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978B0E" w14:textId="0AC9BDEE" w:rsidR="00FC1E60" w:rsidRDefault="00FC1E60" w:rsidP="0001675E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4F09EC" w14:textId="77777777" w:rsidR="00FC1E60" w:rsidRDefault="00FC1E60" w:rsidP="00016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41565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937773" w14:textId="078D6104" w:rsidR="00FC1E60" w:rsidRPr="00FC1E60" w:rsidRDefault="00FC1E60" w:rsidP="008E2BA9">
        <w:pPr>
          <w:pStyle w:val="Footer"/>
          <w:jc w:val="center"/>
          <w:rPr>
            <w:rStyle w:val="PageNumber"/>
            <w:sz w:val="20"/>
            <w:szCs w:val="20"/>
          </w:rPr>
        </w:pPr>
        <w:r w:rsidRPr="00FC1E60">
          <w:rPr>
            <w:rStyle w:val="PageNumber"/>
            <w:sz w:val="20"/>
            <w:szCs w:val="20"/>
          </w:rPr>
          <w:fldChar w:fldCharType="begin"/>
        </w:r>
        <w:r w:rsidRPr="00FC1E60">
          <w:rPr>
            <w:rStyle w:val="PageNumber"/>
            <w:sz w:val="20"/>
            <w:szCs w:val="20"/>
          </w:rPr>
          <w:instrText xml:space="preserve"> PAGE </w:instrText>
        </w:r>
        <w:r w:rsidRPr="00FC1E60">
          <w:rPr>
            <w:rStyle w:val="PageNumber"/>
            <w:sz w:val="20"/>
            <w:szCs w:val="20"/>
          </w:rPr>
          <w:fldChar w:fldCharType="separate"/>
        </w:r>
        <w:r w:rsidRPr="00FC1E60">
          <w:rPr>
            <w:rStyle w:val="PageNumber"/>
            <w:noProof/>
            <w:sz w:val="20"/>
            <w:szCs w:val="20"/>
          </w:rPr>
          <w:t>2</w:t>
        </w:r>
        <w:r w:rsidRPr="00FC1E60">
          <w:rPr>
            <w:rStyle w:val="PageNumber"/>
            <w:sz w:val="20"/>
            <w:szCs w:val="20"/>
          </w:rPr>
          <w:fldChar w:fldCharType="end"/>
        </w:r>
      </w:p>
    </w:sdtContent>
  </w:sdt>
  <w:p w14:paraId="1A9218FF" w14:textId="77777777" w:rsidR="00FC1E60" w:rsidRPr="00FC1E60" w:rsidRDefault="00FC1E60" w:rsidP="0001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67281" w14:textId="77777777" w:rsidR="002131E6" w:rsidRDefault="002131E6" w:rsidP="0001675E">
      <w:r>
        <w:separator/>
      </w:r>
    </w:p>
  </w:footnote>
  <w:footnote w:type="continuationSeparator" w:id="0">
    <w:p w14:paraId="53B49D91" w14:textId="77777777" w:rsidR="002131E6" w:rsidRDefault="002131E6" w:rsidP="0001675E">
      <w:r>
        <w:continuationSeparator/>
      </w:r>
    </w:p>
  </w:footnote>
  <w:footnote w:id="1">
    <w:p w14:paraId="6E8C1F88" w14:textId="33DCEF91" w:rsidR="00167225" w:rsidRDefault="001672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50428">
        <w:t>We</w:t>
      </w:r>
      <w:r>
        <w:t xml:space="preserve"> use two-party Democratic vote shares by convention. Two-party Replication vote shares are simply </w:t>
      </w:r>
      <m:oMath>
        <m:r>
          <w:rPr>
            <w:rFonts w:ascii="Cambria Math" w:hAnsi="Cambria Math"/>
          </w:rPr>
          <m:t>1 – V</m:t>
        </m:r>
      </m:oMath>
      <w:r>
        <w:t>.</w:t>
      </w:r>
    </w:p>
  </w:footnote>
  <w:footnote w:id="2">
    <w:p w14:paraId="50529B6E" w14:textId="54459CFB" w:rsidR="00BB32A7" w:rsidRDefault="00BB32A7">
      <w:pPr>
        <w:pStyle w:val="FootnoteText"/>
      </w:pPr>
      <w:r>
        <w:rPr>
          <w:rStyle w:val="FootnoteReference"/>
        </w:rPr>
        <w:footnoteRef/>
      </w:r>
      <w:r>
        <w:t xml:space="preserve"> Not just proportionality!</w:t>
      </w:r>
    </w:p>
  </w:footnote>
  <w:footnote w:id="3">
    <w:p w14:paraId="4AC9E5EA" w14:textId="77777777" w:rsidR="00DE1D5D" w:rsidRDefault="00DE1D5D" w:rsidP="00DE1D5D">
      <w:pPr>
        <w:pStyle w:val="FootnoteText"/>
      </w:pPr>
      <w:r>
        <w:rPr>
          <w:rStyle w:val="FootnoteReference"/>
        </w:rPr>
        <w:footnoteRef/>
      </w:r>
      <w:r>
        <w:t xml:space="preserve"> John Nagle has called this &lt;V&gt; in the past.</w:t>
      </w:r>
    </w:p>
  </w:footnote>
  <w:footnote w:id="4">
    <w:p w14:paraId="7A4F20A9" w14:textId="77777777" w:rsidR="00DC19C4" w:rsidRDefault="00DC19C4" w:rsidP="00DC19C4">
      <w:pPr>
        <w:pStyle w:val="FootnoteText"/>
      </w:pPr>
      <w:r>
        <w:rPr>
          <w:rStyle w:val="FootnoteReference"/>
        </w:rPr>
        <w:footnoteRef/>
      </w:r>
      <w:r>
        <w:t xml:space="preserve"> We use John Nagle’s base methodology of fractional seat probabilities described in </w:t>
      </w:r>
      <w:hyperlink r:id="rId1" w:history="1">
        <w:r w:rsidRPr="00983773">
          <w:rPr>
            <w:rStyle w:val="Hyperlink"/>
          </w:rPr>
          <w:t>https://lipid.phys.cmu.edu/nagle/Technical/FractionalSeats2.pdf</w:t>
        </w:r>
      </w:hyperlink>
      <w:r>
        <w:t xml:space="preserve"> and a seats–votes curve inferred using proportional shift described in </w:t>
      </w:r>
      <w:hyperlink r:id="rId2" w:history="1">
        <w:r w:rsidRPr="00983773">
          <w:rPr>
            <w:rStyle w:val="Hyperlink"/>
          </w:rPr>
          <w:t>https://lipid.phys.cmu.edu/nagle/Technical/2019-04-19%20-%20Measuring%20Redistricting%20Bias%20&amp;%20Responsiveness.pdf</w:t>
        </w:r>
      </w:hyperlink>
      <w:r>
        <w:t>.</w:t>
      </w:r>
    </w:p>
  </w:footnote>
  <w:footnote w:id="5">
    <w:p w14:paraId="00560593" w14:textId="7FDFE0FA" w:rsidR="0090700E" w:rsidRDefault="0090700E">
      <w:pPr>
        <w:pStyle w:val="FootnoteText"/>
      </w:pPr>
      <w:r>
        <w:rPr>
          <w:rStyle w:val="FootnoteReference"/>
        </w:rPr>
        <w:footnoteRef/>
      </w:r>
      <w:r>
        <w:t xml:space="preserve"> In my first draft, I focused on the input parameters to candidate functions. In this draft, I’m focused on the return type.</w:t>
      </w:r>
    </w:p>
  </w:footnote>
  <w:footnote w:id="6">
    <w:p w14:paraId="5D96DC6D" w14:textId="77777777" w:rsidR="00315FA9" w:rsidRDefault="00315FA9" w:rsidP="00315FA9">
      <w:pPr>
        <w:pStyle w:val="FootnoteText"/>
      </w:pPr>
      <w:r>
        <w:rPr>
          <w:rStyle w:val="FootnoteReference"/>
        </w:rPr>
        <w:footnoteRef/>
      </w:r>
      <w:r>
        <w:t xml:space="preserve"> To make formulas easier to write, we represent percentages as [0–1] fractions in the body text. Except as noted, in tables and figures, we show them as percentages. </w:t>
      </w:r>
    </w:p>
  </w:footnote>
  <w:footnote w:id="7">
    <w:p w14:paraId="47A2CFB7" w14:textId="46B8F09C" w:rsidR="000219A4" w:rsidRDefault="000219A4">
      <w:pPr>
        <w:pStyle w:val="FootnoteText"/>
      </w:pPr>
      <w:r>
        <w:rPr>
          <w:rStyle w:val="FootnoteReference"/>
        </w:rPr>
        <w:footnoteRef/>
      </w:r>
      <w:r>
        <w:t xml:space="preserve"> Someone wanting to protect minority rights might argue that sub-proportional but not anti-majoritarian outcomes </w:t>
      </w:r>
      <w:r w:rsidR="00984415">
        <w:t>don’t unduly (dis)favor either party. Our stick in the ground is that proportionality is a minimum bar for the majority party.</w:t>
      </w:r>
    </w:p>
  </w:footnote>
  <w:footnote w:id="8">
    <w:p w14:paraId="4DCF4F9A" w14:textId="64BA0B9D" w:rsidR="00C627F0" w:rsidRDefault="00C627F0">
      <w:pPr>
        <w:pStyle w:val="FootnoteText"/>
      </w:pPr>
      <w:r>
        <w:rPr>
          <w:rStyle w:val="FootnoteReference"/>
        </w:rPr>
        <w:footnoteRef/>
      </w:r>
      <w:r>
        <w:t xml:space="preserve"> The </w:t>
      </w:r>
      <m:oMath>
        <m:r>
          <w:rPr>
            <w:rFonts w:ascii="Cambria Math" w:hAnsi="Cambria Math"/>
          </w:rPr>
          <m:t>≥</m:t>
        </m:r>
      </m:oMath>
      <w:r>
        <w:t xml:space="preserve"> and </w:t>
      </w:r>
      <m:oMath>
        <m:r>
          <w:rPr>
            <w:rFonts w:ascii="Cambria Math" w:hAnsi="Cambria Math"/>
          </w:rPr>
          <m:t>≤</m:t>
        </m:r>
      </m:oMath>
      <w:r>
        <w:t xml:space="preserve"> versus simple </w:t>
      </w:r>
      <m:oMath>
        <m:r>
          <w:rPr>
            <w:rFonts w:ascii="Cambria Math" w:hAnsi="Cambria Math"/>
          </w:rPr>
          <m:t>&gt;</m:t>
        </m:r>
      </m:oMath>
      <w:r>
        <w:t xml:space="preserve"> and </w:t>
      </w:r>
      <m:oMath>
        <m:r>
          <w:rPr>
            <w:rFonts w:ascii="Cambria Math" w:hAnsi="Cambria Math"/>
          </w:rPr>
          <m:t>&lt;</m:t>
        </m:r>
      </m:oMath>
      <w:r>
        <w:t xml:space="preserve"> allow the ideal to be proportionality (</w:t>
      </w:r>
      <m:oMath>
        <m:r>
          <w:rPr>
            <w:rFonts w:ascii="Cambria Math" w:hAnsi="Cambria Math"/>
          </w:rPr>
          <m:t>S=V</m:t>
        </m:r>
      </m:oMath>
      <w:r>
        <w:t>).</w:t>
      </w:r>
    </w:p>
  </w:footnote>
  <w:footnote w:id="9">
    <w:p w14:paraId="42E8C2E7" w14:textId="77777777" w:rsidR="00DE1D5D" w:rsidRDefault="00DE1D5D" w:rsidP="00DE1D5D">
      <w:pPr>
        <w:pStyle w:val="FootnoteText"/>
      </w:pPr>
      <w:r>
        <w:rPr>
          <w:rStyle w:val="FootnoteReference"/>
        </w:rPr>
        <w:footnoteRef/>
      </w:r>
      <w:r>
        <w:t xml:space="preserve"> Because statewide vote shares tend to not fall much outside the range [0.4, 0.6], we only infer the points of the seats–votes curve for the range [0.25, 0.75].</w:t>
      </w:r>
    </w:p>
  </w:footnote>
  <w:footnote w:id="10">
    <w:p w14:paraId="7689F667" w14:textId="77777777" w:rsidR="00DE1D5D" w:rsidRDefault="00DE1D5D" w:rsidP="00DE1D5D">
      <w:pPr>
        <w:pStyle w:val="FootnoteText"/>
      </w:pPr>
      <w:r>
        <w:rPr>
          <w:rStyle w:val="FootnoteReference"/>
        </w:rPr>
        <w:footnoteRef/>
      </w:r>
      <w:r>
        <w:t xml:space="preserve"> As will be described below, we use a 5% range that brackets the statewide vote share, because the average uncertainty for the seats–votes curves in (Nagle and Ramsay, 2021) was roughly 2%.</w:t>
      </w:r>
    </w:p>
  </w:footnote>
  <w:footnote w:id="11">
    <w:p w14:paraId="25BEC023" w14:textId="77777777" w:rsidR="00DE1D5D" w:rsidRDefault="00DE1D5D" w:rsidP="00DE1D5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D6614C">
          <w:rPr>
            <w:rStyle w:val="Hyperlink"/>
          </w:rPr>
          <w:t>https://en.wikipedia.org/wiki/Principle_of_locality</w:t>
        </w:r>
      </w:hyperlink>
      <w:r>
        <w:t xml:space="preserve"> </w:t>
      </w:r>
    </w:p>
  </w:footnote>
  <w:footnote w:id="12">
    <w:p w14:paraId="5134A4AB" w14:textId="77777777" w:rsidR="00B37B61" w:rsidRDefault="00B37B61" w:rsidP="00B37B61">
      <w:pPr>
        <w:pStyle w:val="FootnoteText"/>
      </w:pPr>
      <w:r>
        <w:rPr>
          <w:rStyle w:val="FootnoteReference"/>
        </w:rPr>
        <w:footnoteRef/>
      </w:r>
      <w:r>
        <w:t xml:space="preserve"> (</w:t>
      </w:r>
      <w:r w:rsidRPr="00EF1E86">
        <w:t xml:space="preserve">Stephanopoulos </w:t>
      </w:r>
      <w:r>
        <w:t xml:space="preserve">&amp; </w:t>
      </w:r>
      <w:r w:rsidRPr="00EF1E86">
        <w:t>McGhee</w:t>
      </w:r>
      <w:r>
        <w:t>, 2018): “</w:t>
      </w:r>
      <w:r w:rsidRPr="00EF1E86">
        <w:t xml:space="preserve">a fourth parameter is </w:t>
      </w:r>
      <w:r w:rsidRPr="00EF1E86">
        <w:rPr>
          <w:i/>
          <w:iCs/>
        </w:rPr>
        <w:t>empirical correspondence</w:t>
      </w:r>
      <w:r w:rsidRPr="00EF1E86">
        <w:t xml:space="preserve">. That is, the electoral ideal implied by a metric should not be too different from the American historical norm. </w:t>
      </w:r>
      <w:proofErr w:type="gramStart"/>
      <w:r w:rsidRPr="00EF1E86">
        <w:t>Otherwise</w:t>
      </w:r>
      <w:proofErr w:type="gramEnd"/>
      <w:r w:rsidRPr="00EF1E86">
        <w:t xml:space="preserve"> the measure would imply that most American plans have been gerrymanders—and its adoption would be so disruptive as to be infeasible.</w:t>
      </w:r>
      <w:r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794"/>
    <w:multiLevelType w:val="hybridMultilevel"/>
    <w:tmpl w:val="82045CFC"/>
    <w:lvl w:ilvl="0" w:tplc="E618B9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152"/>
    <w:multiLevelType w:val="hybridMultilevel"/>
    <w:tmpl w:val="EFEA6A6C"/>
    <w:lvl w:ilvl="0" w:tplc="10DE5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889"/>
    <w:multiLevelType w:val="hybridMultilevel"/>
    <w:tmpl w:val="C4E05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0EFB"/>
    <w:multiLevelType w:val="hybridMultilevel"/>
    <w:tmpl w:val="A942FB86"/>
    <w:lvl w:ilvl="0" w:tplc="1220D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1139C"/>
    <w:multiLevelType w:val="hybridMultilevel"/>
    <w:tmpl w:val="C4E05F3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90194C"/>
    <w:multiLevelType w:val="hybridMultilevel"/>
    <w:tmpl w:val="27D45892"/>
    <w:lvl w:ilvl="0" w:tplc="AF480A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A1D"/>
    <w:multiLevelType w:val="hybridMultilevel"/>
    <w:tmpl w:val="DBEE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16B24"/>
    <w:multiLevelType w:val="hybridMultilevel"/>
    <w:tmpl w:val="3D4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D6DAF"/>
    <w:multiLevelType w:val="hybridMultilevel"/>
    <w:tmpl w:val="C4E05F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75574"/>
    <w:multiLevelType w:val="hybridMultilevel"/>
    <w:tmpl w:val="0D5CDB76"/>
    <w:lvl w:ilvl="0" w:tplc="8AA67A9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05C72"/>
    <w:multiLevelType w:val="hybridMultilevel"/>
    <w:tmpl w:val="B71A1528"/>
    <w:lvl w:ilvl="0" w:tplc="A56EF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A7FD5"/>
    <w:multiLevelType w:val="hybridMultilevel"/>
    <w:tmpl w:val="DE3054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73BE3"/>
    <w:multiLevelType w:val="hybridMultilevel"/>
    <w:tmpl w:val="798ECB58"/>
    <w:lvl w:ilvl="0" w:tplc="D528DB1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76C61"/>
    <w:multiLevelType w:val="hybridMultilevel"/>
    <w:tmpl w:val="0D48D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F7049"/>
    <w:multiLevelType w:val="hybridMultilevel"/>
    <w:tmpl w:val="654A5E64"/>
    <w:lvl w:ilvl="0" w:tplc="E29E5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50BDC"/>
    <w:multiLevelType w:val="hybridMultilevel"/>
    <w:tmpl w:val="1C8EBE18"/>
    <w:lvl w:ilvl="0" w:tplc="FC9C96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66097"/>
    <w:multiLevelType w:val="hybridMultilevel"/>
    <w:tmpl w:val="47E6C750"/>
    <w:lvl w:ilvl="0" w:tplc="736EB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721C2"/>
    <w:multiLevelType w:val="hybridMultilevel"/>
    <w:tmpl w:val="729685C0"/>
    <w:lvl w:ilvl="0" w:tplc="E1865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D1549"/>
    <w:multiLevelType w:val="hybridMultilevel"/>
    <w:tmpl w:val="AB6A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1404"/>
    <w:multiLevelType w:val="hybridMultilevel"/>
    <w:tmpl w:val="D410E286"/>
    <w:lvl w:ilvl="0" w:tplc="4CF838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B0528"/>
    <w:multiLevelType w:val="hybridMultilevel"/>
    <w:tmpl w:val="C3E226DE"/>
    <w:lvl w:ilvl="0" w:tplc="E618B9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85A47"/>
    <w:multiLevelType w:val="hybridMultilevel"/>
    <w:tmpl w:val="1FB4954C"/>
    <w:lvl w:ilvl="0" w:tplc="7542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D7E66"/>
    <w:multiLevelType w:val="hybridMultilevel"/>
    <w:tmpl w:val="C4E05F3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F23EE1"/>
    <w:multiLevelType w:val="hybridMultilevel"/>
    <w:tmpl w:val="EBB29702"/>
    <w:lvl w:ilvl="0" w:tplc="D004E9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E09A7"/>
    <w:multiLevelType w:val="hybridMultilevel"/>
    <w:tmpl w:val="09CA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5002A"/>
    <w:multiLevelType w:val="hybridMultilevel"/>
    <w:tmpl w:val="475AD76E"/>
    <w:lvl w:ilvl="0" w:tplc="004A5C8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1"/>
  </w:num>
  <w:num w:numId="4">
    <w:abstractNumId w:val="10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3"/>
  </w:num>
  <w:num w:numId="10">
    <w:abstractNumId w:val="6"/>
  </w:num>
  <w:num w:numId="11">
    <w:abstractNumId w:val="5"/>
  </w:num>
  <w:num w:numId="12">
    <w:abstractNumId w:val="20"/>
  </w:num>
  <w:num w:numId="13">
    <w:abstractNumId w:val="13"/>
  </w:num>
  <w:num w:numId="14">
    <w:abstractNumId w:val="0"/>
  </w:num>
  <w:num w:numId="15">
    <w:abstractNumId w:val="2"/>
  </w:num>
  <w:num w:numId="16">
    <w:abstractNumId w:val="11"/>
  </w:num>
  <w:num w:numId="17">
    <w:abstractNumId w:val="8"/>
  </w:num>
  <w:num w:numId="18">
    <w:abstractNumId w:val="25"/>
  </w:num>
  <w:num w:numId="19">
    <w:abstractNumId w:val="23"/>
  </w:num>
  <w:num w:numId="20">
    <w:abstractNumId w:val="12"/>
  </w:num>
  <w:num w:numId="21">
    <w:abstractNumId w:val="22"/>
  </w:num>
  <w:num w:numId="22">
    <w:abstractNumId w:val="4"/>
  </w:num>
  <w:num w:numId="23">
    <w:abstractNumId w:val="24"/>
  </w:num>
  <w:num w:numId="24">
    <w:abstractNumId w:val="19"/>
  </w:num>
  <w:num w:numId="25">
    <w:abstractNumId w:val="18"/>
  </w:num>
  <w:num w:numId="2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48"/>
    <w:rsid w:val="0000181D"/>
    <w:rsid w:val="000024BF"/>
    <w:rsid w:val="000035CF"/>
    <w:rsid w:val="0001675E"/>
    <w:rsid w:val="00021432"/>
    <w:rsid w:val="000219A4"/>
    <w:rsid w:val="0002472B"/>
    <w:rsid w:val="00030716"/>
    <w:rsid w:val="00042DB0"/>
    <w:rsid w:val="00043F7C"/>
    <w:rsid w:val="000455FA"/>
    <w:rsid w:val="00051ED9"/>
    <w:rsid w:val="00060D40"/>
    <w:rsid w:val="00061311"/>
    <w:rsid w:val="0007768C"/>
    <w:rsid w:val="0008041E"/>
    <w:rsid w:val="000B5EF9"/>
    <w:rsid w:val="000B6734"/>
    <w:rsid w:val="000D04AE"/>
    <w:rsid w:val="000D105B"/>
    <w:rsid w:val="000D4E2E"/>
    <w:rsid w:val="000D544E"/>
    <w:rsid w:val="000E5C34"/>
    <w:rsid w:val="000E6934"/>
    <w:rsid w:val="000F2B5F"/>
    <w:rsid w:val="000F6348"/>
    <w:rsid w:val="000F7063"/>
    <w:rsid w:val="00101F1D"/>
    <w:rsid w:val="00107874"/>
    <w:rsid w:val="001078D2"/>
    <w:rsid w:val="00113E7F"/>
    <w:rsid w:val="00123DE6"/>
    <w:rsid w:val="001248B9"/>
    <w:rsid w:val="00124973"/>
    <w:rsid w:val="00135B48"/>
    <w:rsid w:val="0014444D"/>
    <w:rsid w:val="00151DCE"/>
    <w:rsid w:val="00167225"/>
    <w:rsid w:val="00170F84"/>
    <w:rsid w:val="00173C12"/>
    <w:rsid w:val="00177D44"/>
    <w:rsid w:val="00183E17"/>
    <w:rsid w:val="00193EE6"/>
    <w:rsid w:val="001A66AD"/>
    <w:rsid w:val="001A7032"/>
    <w:rsid w:val="001B3979"/>
    <w:rsid w:val="001B4591"/>
    <w:rsid w:val="001D0617"/>
    <w:rsid w:val="001D13F3"/>
    <w:rsid w:val="001E3027"/>
    <w:rsid w:val="001E5BCE"/>
    <w:rsid w:val="001F2190"/>
    <w:rsid w:val="00204B7C"/>
    <w:rsid w:val="002123C0"/>
    <w:rsid w:val="002131E6"/>
    <w:rsid w:val="00215C35"/>
    <w:rsid w:val="002411C1"/>
    <w:rsid w:val="00251742"/>
    <w:rsid w:val="00253862"/>
    <w:rsid w:val="00266DF7"/>
    <w:rsid w:val="00274145"/>
    <w:rsid w:val="00274BCB"/>
    <w:rsid w:val="002920A7"/>
    <w:rsid w:val="00293FCB"/>
    <w:rsid w:val="00297F03"/>
    <w:rsid w:val="002B3D4C"/>
    <w:rsid w:val="002C0496"/>
    <w:rsid w:val="002C57F3"/>
    <w:rsid w:val="002D7523"/>
    <w:rsid w:val="002E79F9"/>
    <w:rsid w:val="002E7ED0"/>
    <w:rsid w:val="002F45D3"/>
    <w:rsid w:val="00311F9F"/>
    <w:rsid w:val="003143DF"/>
    <w:rsid w:val="00315FA9"/>
    <w:rsid w:val="00335015"/>
    <w:rsid w:val="00337377"/>
    <w:rsid w:val="003406FA"/>
    <w:rsid w:val="00341A19"/>
    <w:rsid w:val="00343291"/>
    <w:rsid w:val="0034443E"/>
    <w:rsid w:val="003663AB"/>
    <w:rsid w:val="0037209B"/>
    <w:rsid w:val="003735BF"/>
    <w:rsid w:val="0038029B"/>
    <w:rsid w:val="00382426"/>
    <w:rsid w:val="003876B6"/>
    <w:rsid w:val="00395C4D"/>
    <w:rsid w:val="00395CFB"/>
    <w:rsid w:val="003A055C"/>
    <w:rsid w:val="003B1C6B"/>
    <w:rsid w:val="003B3B3F"/>
    <w:rsid w:val="003C43FF"/>
    <w:rsid w:val="003E63C5"/>
    <w:rsid w:val="00402877"/>
    <w:rsid w:val="00407C05"/>
    <w:rsid w:val="004338B2"/>
    <w:rsid w:val="0045299F"/>
    <w:rsid w:val="00454101"/>
    <w:rsid w:val="00466FA9"/>
    <w:rsid w:val="0047010F"/>
    <w:rsid w:val="00470E42"/>
    <w:rsid w:val="00476C36"/>
    <w:rsid w:val="004808BC"/>
    <w:rsid w:val="00482F2F"/>
    <w:rsid w:val="0049048E"/>
    <w:rsid w:val="004B53B9"/>
    <w:rsid w:val="004D2313"/>
    <w:rsid w:val="004D352B"/>
    <w:rsid w:val="004D7CE1"/>
    <w:rsid w:val="004E7394"/>
    <w:rsid w:val="004F66A9"/>
    <w:rsid w:val="00514871"/>
    <w:rsid w:val="00523C6A"/>
    <w:rsid w:val="00533520"/>
    <w:rsid w:val="00536406"/>
    <w:rsid w:val="0053729F"/>
    <w:rsid w:val="00540EF0"/>
    <w:rsid w:val="005475EA"/>
    <w:rsid w:val="00552AE2"/>
    <w:rsid w:val="0055438F"/>
    <w:rsid w:val="00556EBB"/>
    <w:rsid w:val="00563EDD"/>
    <w:rsid w:val="005654D5"/>
    <w:rsid w:val="00581CE3"/>
    <w:rsid w:val="00585503"/>
    <w:rsid w:val="00586DBA"/>
    <w:rsid w:val="005940FD"/>
    <w:rsid w:val="005A6A9F"/>
    <w:rsid w:val="005A7406"/>
    <w:rsid w:val="005B11EC"/>
    <w:rsid w:val="005C07C3"/>
    <w:rsid w:val="005D534B"/>
    <w:rsid w:val="005E327C"/>
    <w:rsid w:val="005F5ED2"/>
    <w:rsid w:val="0060262B"/>
    <w:rsid w:val="00604959"/>
    <w:rsid w:val="00606857"/>
    <w:rsid w:val="00611AE4"/>
    <w:rsid w:val="00614413"/>
    <w:rsid w:val="00616FD7"/>
    <w:rsid w:val="006207EA"/>
    <w:rsid w:val="00626D62"/>
    <w:rsid w:val="00633894"/>
    <w:rsid w:val="00635F7B"/>
    <w:rsid w:val="00654550"/>
    <w:rsid w:val="0065520F"/>
    <w:rsid w:val="00661874"/>
    <w:rsid w:val="006638FF"/>
    <w:rsid w:val="00665A9E"/>
    <w:rsid w:val="0066710B"/>
    <w:rsid w:val="006746EE"/>
    <w:rsid w:val="006803DD"/>
    <w:rsid w:val="006902E9"/>
    <w:rsid w:val="00691383"/>
    <w:rsid w:val="006A01AA"/>
    <w:rsid w:val="006B2F9C"/>
    <w:rsid w:val="006B3D5B"/>
    <w:rsid w:val="006B7D92"/>
    <w:rsid w:val="006C328B"/>
    <w:rsid w:val="006C79CA"/>
    <w:rsid w:val="006D2D17"/>
    <w:rsid w:val="006D4D8F"/>
    <w:rsid w:val="006E2CC1"/>
    <w:rsid w:val="006E42A4"/>
    <w:rsid w:val="006E63F5"/>
    <w:rsid w:val="00705167"/>
    <w:rsid w:val="00707657"/>
    <w:rsid w:val="0071041C"/>
    <w:rsid w:val="0071085D"/>
    <w:rsid w:val="007239AC"/>
    <w:rsid w:val="00733220"/>
    <w:rsid w:val="00740F00"/>
    <w:rsid w:val="00741C5F"/>
    <w:rsid w:val="00741E39"/>
    <w:rsid w:val="00757CEC"/>
    <w:rsid w:val="00760486"/>
    <w:rsid w:val="007705D4"/>
    <w:rsid w:val="00771EC4"/>
    <w:rsid w:val="00773CF4"/>
    <w:rsid w:val="00774B0B"/>
    <w:rsid w:val="00780E4D"/>
    <w:rsid w:val="00782E73"/>
    <w:rsid w:val="00786531"/>
    <w:rsid w:val="00786817"/>
    <w:rsid w:val="00791407"/>
    <w:rsid w:val="007964D7"/>
    <w:rsid w:val="007A2F08"/>
    <w:rsid w:val="007B3DDA"/>
    <w:rsid w:val="007C7216"/>
    <w:rsid w:val="007D262E"/>
    <w:rsid w:val="007F0EAC"/>
    <w:rsid w:val="007F224B"/>
    <w:rsid w:val="007F537A"/>
    <w:rsid w:val="00801201"/>
    <w:rsid w:val="0081499F"/>
    <w:rsid w:val="008168AF"/>
    <w:rsid w:val="00821C73"/>
    <w:rsid w:val="0083207E"/>
    <w:rsid w:val="00836224"/>
    <w:rsid w:val="008400A6"/>
    <w:rsid w:val="00841027"/>
    <w:rsid w:val="0084235B"/>
    <w:rsid w:val="008535E3"/>
    <w:rsid w:val="00867FF4"/>
    <w:rsid w:val="0087511B"/>
    <w:rsid w:val="00895565"/>
    <w:rsid w:val="008A0E88"/>
    <w:rsid w:val="008A606C"/>
    <w:rsid w:val="008B4904"/>
    <w:rsid w:val="008B554A"/>
    <w:rsid w:val="008C0D47"/>
    <w:rsid w:val="008C0F0C"/>
    <w:rsid w:val="008D0DB6"/>
    <w:rsid w:val="008D5712"/>
    <w:rsid w:val="008E2BA9"/>
    <w:rsid w:val="008E5F7F"/>
    <w:rsid w:val="008F41E6"/>
    <w:rsid w:val="00900081"/>
    <w:rsid w:val="0090700E"/>
    <w:rsid w:val="00916800"/>
    <w:rsid w:val="00925779"/>
    <w:rsid w:val="009265A9"/>
    <w:rsid w:val="00932283"/>
    <w:rsid w:val="00945352"/>
    <w:rsid w:val="00950C27"/>
    <w:rsid w:val="00960500"/>
    <w:rsid w:val="0096211E"/>
    <w:rsid w:val="00972C47"/>
    <w:rsid w:val="00983117"/>
    <w:rsid w:val="00984415"/>
    <w:rsid w:val="009970E3"/>
    <w:rsid w:val="009A0F26"/>
    <w:rsid w:val="009A1040"/>
    <w:rsid w:val="009A1D3C"/>
    <w:rsid w:val="009A1FBD"/>
    <w:rsid w:val="009A25CE"/>
    <w:rsid w:val="009B2610"/>
    <w:rsid w:val="009B4337"/>
    <w:rsid w:val="009B5114"/>
    <w:rsid w:val="009B7268"/>
    <w:rsid w:val="009D3553"/>
    <w:rsid w:val="009D4054"/>
    <w:rsid w:val="009D6C6E"/>
    <w:rsid w:val="009E2643"/>
    <w:rsid w:val="009E2C9A"/>
    <w:rsid w:val="009F17E8"/>
    <w:rsid w:val="009F7788"/>
    <w:rsid w:val="00A01197"/>
    <w:rsid w:val="00A176F7"/>
    <w:rsid w:val="00A20082"/>
    <w:rsid w:val="00A20888"/>
    <w:rsid w:val="00A2311C"/>
    <w:rsid w:val="00A25135"/>
    <w:rsid w:val="00A262C7"/>
    <w:rsid w:val="00A36884"/>
    <w:rsid w:val="00A42C3A"/>
    <w:rsid w:val="00A47D2E"/>
    <w:rsid w:val="00A50428"/>
    <w:rsid w:val="00A507D9"/>
    <w:rsid w:val="00A528A3"/>
    <w:rsid w:val="00A579B0"/>
    <w:rsid w:val="00A64B95"/>
    <w:rsid w:val="00A7052F"/>
    <w:rsid w:val="00A70BEB"/>
    <w:rsid w:val="00A714E8"/>
    <w:rsid w:val="00A77BE1"/>
    <w:rsid w:val="00A80BE8"/>
    <w:rsid w:val="00A81C42"/>
    <w:rsid w:val="00A84DD6"/>
    <w:rsid w:val="00A84FE5"/>
    <w:rsid w:val="00A8553F"/>
    <w:rsid w:val="00A95F93"/>
    <w:rsid w:val="00A96D7A"/>
    <w:rsid w:val="00AA4570"/>
    <w:rsid w:val="00AA678C"/>
    <w:rsid w:val="00AA7C51"/>
    <w:rsid w:val="00AB73B6"/>
    <w:rsid w:val="00AC2719"/>
    <w:rsid w:val="00AC6249"/>
    <w:rsid w:val="00AD4B9F"/>
    <w:rsid w:val="00AD5C8E"/>
    <w:rsid w:val="00AD6169"/>
    <w:rsid w:val="00AE3970"/>
    <w:rsid w:val="00AE5169"/>
    <w:rsid w:val="00AF57DA"/>
    <w:rsid w:val="00AF5926"/>
    <w:rsid w:val="00B072DF"/>
    <w:rsid w:val="00B07906"/>
    <w:rsid w:val="00B12613"/>
    <w:rsid w:val="00B1512C"/>
    <w:rsid w:val="00B21328"/>
    <w:rsid w:val="00B2743F"/>
    <w:rsid w:val="00B30410"/>
    <w:rsid w:val="00B30807"/>
    <w:rsid w:val="00B37B61"/>
    <w:rsid w:val="00B40A70"/>
    <w:rsid w:val="00B444FC"/>
    <w:rsid w:val="00B47998"/>
    <w:rsid w:val="00B617C4"/>
    <w:rsid w:val="00B61C44"/>
    <w:rsid w:val="00B72C0C"/>
    <w:rsid w:val="00B8412F"/>
    <w:rsid w:val="00BB1E46"/>
    <w:rsid w:val="00BB32A7"/>
    <w:rsid w:val="00BC0805"/>
    <w:rsid w:val="00BD1A78"/>
    <w:rsid w:val="00BE722C"/>
    <w:rsid w:val="00BF0DAA"/>
    <w:rsid w:val="00C0729E"/>
    <w:rsid w:val="00C12C8E"/>
    <w:rsid w:val="00C2584C"/>
    <w:rsid w:val="00C51C17"/>
    <w:rsid w:val="00C627F0"/>
    <w:rsid w:val="00C73D06"/>
    <w:rsid w:val="00C7783F"/>
    <w:rsid w:val="00C83A68"/>
    <w:rsid w:val="00C93B4B"/>
    <w:rsid w:val="00C95D32"/>
    <w:rsid w:val="00C9729E"/>
    <w:rsid w:val="00C97CB7"/>
    <w:rsid w:val="00CA327D"/>
    <w:rsid w:val="00CA7127"/>
    <w:rsid w:val="00CC21C3"/>
    <w:rsid w:val="00CD2F8A"/>
    <w:rsid w:val="00CD3A2C"/>
    <w:rsid w:val="00CF1225"/>
    <w:rsid w:val="00CF1A6C"/>
    <w:rsid w:val="00CF3F7B"/>
    <w:rsid w:val="00CF47D9"/>
    <w:rsid w:val="00CF4C14"/>
    <w:rsid w:val="00D01446"/>
    <w:rsid w:val="00D20930"/>
    <w:rsid w:val="00D27936"/>
    <w:rsid w:val="00D3010F"/>
    <w:rsid w:val="00D37158"/>
    <w:rsid w:val="00D37D3E"/>
    <w:rsid w:val="00D44553"/>
    <w:rsid w:val="00D45978"/>
    <w:rsid w:val="00D479F2"/>
    <w:rsid w:val="00D51977"/>
    <w:rsid w:val="00D56C36"/>
    <w:rsid w:val="00D612D4"/>
    <w:rsid w:val="00D6201D"/>
    <w:rsid w:val="00D62E34"/>
    <w:rsid w:val="00D64E7A"/>
    <w:rsid w:val="00D82F6E"/>
    <w:rsid w:val="00D8512F"/>
    <w:rsid w:val="00D86B16"/>
    <w:rsid w:val="00D97F58"/>
    <w:rsid w:val="00DA2D04"/>
    <w:rsid w:val="00DA5D37"/>
    <w:rsid w:val="00DA61EB"/>
    <w:rsid w:val="00DB24C1"/>
    <w:rsid w:val="00DB4E8C"/>
    <w:rsid w:val="00DC19C4"/>
    <w:rsid w:val="00DD3B5C"/>
    <w:rsid w:val="00DD5377"/>
    <w:rsid w:val="00DE1D5D"/>
    <w:rsid w:val="00DE726D"/>
    <w:rsid w:val="00E06900"/>
    <w:rsid w:val="00E1086B"/>
    <w:rsid w:val="00E10F4C"/>
    <w:rsid w:val="00E113A8"/>
    <w:rsid w:val="00E12EF1"/>
    <w:rsid w:val="00E15059"/>
    <w:rsid w:val="00E1559E"/>
    <w:rsid w:val="00E16C90"/>
    <w:rsid w:val="00E2631E"/>
    <w:rsid w:val="00E26849"/>
    <w:rsid w:val="00E41E56"/>
    <w:rsid w:val="00E440A4"/>
    <w:rsid w:val="00E500FC"/>
    <w:rsid w:val="00E6055A"/>
    <w:rsid w:val="00E72C96"/>
    <w:rsid w:val="00EA0FF3"/>
    <w:rsid w:val="00EA4210"/>
    <w:rsid w:val="00EB7243"/>
    <w:rsid w:val="00EC30A5"/>
    <w:rsid w:val="00EC5A5D"/>
    <w:rsid w:val="00EC7C75"/>
    <w:rsid w:val="00EE5124"/>
    <w:rsid w:val="00EF1AD0"/>
    <w:rsid w:val="00EF38BC"/>
    <w:rsid w:val="00EF4A63"/>
    <w:rsid w:val="00F01574"/>
    <w:rsid w:val="00F10213"/>
    <w:rsid w:val="00F25D44"/>
    <w:rsid w:val="00F2601F"/>
    <w:rsid w:val="00F3436E"/>
    <w:rsid w:val="00F35E09"/>
    <w:rsid w:val="00F4149C"/>
    <w:rsid w:val="00F426C6"/>
    <w:rsid w:val="00F438D3"/>
    <w:rsid w:val="00F6315D"/>
    <w:rsid w:val="00F6518C"/>
    <w:rsid w:val="00F66B37"/>
    <w:rsid w:val="00F73275"/>
    <w:rsid w:val="00F7594B"/>
    <w:rsid w:val="00F777D5"/>
    <w:rsid w:val="00F82657"/>
    <w:rsid w:val="00F902CA"/>
    <w:rsid w:val="00F912B6"/>
    <w:rsid w:val="00FA0478"/>
    <w:rsid w:val="00FA7FD1"/>
    <w:rsid w:val="00FB42FD"/>
    <w:rsid w:val="00FB4D58"/>
    <w:rsid w:val="00FC1E60"/>
    <w:rsid w:val="00FC28CB"/>
    <w:rsid w:val="00FD3225"/>
    <w:rsid w:val="00FD35C2"/>
    <w:rsid w:val="00FF0949"/>
    <w:rsid w:val="00F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47DF4"/>
  <w15:chartTrackingRefBased/>
  <w15:docId w15:val="{5DD67035-72F5-8047-AE6D-1B2E2F36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5E"/>
    <w:pPr>
      <w:tabs>
        <w:tab w:val="left" w:pos="1440"/>
        <w:tab w:val="right" w:pos="9360"/>
      </w:tabs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A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1AA"/>
    <w:pPr>
      <w:keepNext/>
      <w:keepLines/>
      <w:spacing w:before="40"/>
      <w:outlineLvl w:val="2"/>
    </w:pPr>
    <w:rPr>
      <w:rFonts w:asciiTheme="majorHAnsi" w:eastAsiaTheme="majorEastAsia" w:hAnsiTheme="majorHAnsi" w:cstheme="majorHAns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A"/>
    <w:rPr>
      <w:rFonts w:eastAsiaTheme="minorEastAs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441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690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2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C8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C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4C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C1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1E60"/>
    <w:pPr>
      <w:tabs>
        <w:tab w:val="center" w:pos="468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E60"/>
  </w:style>
  <w:style w:type="paragraph" w:styleId="Footer">
    <w:name w:val="footer"/>
    <w:basedOn w:val="Normal"/>
    <w:link w:val="FooterChar"/>
    <w:uiPriority w:val="99"/>
    <w:unhideWhenUsed/>
    <w:rsid w:val="00FC1E60"/>
    <w:pPr>
      <w:tabs>
        <w:tab w:val="center" w:pos="468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E60"/>
  </w:style>
  <w:style w:type="character" w:styleId="PageNumber">
    <w:name w:val="page number"/>
    <w:basedOn w:val="DefaultParagraphFont"/>
    <w:uiPriority w:val="99"/>
    <w:semiHidden/>
    <w:unhideWhenUsed/>
    <w:rsid w:val="00FC1E60"/>
  </w:style>
  <w:style w:type="character" w:styleId="PlaceholderText">
    <w:name w:val="Placeholder Text"/>
    <w:basedOn w:val="DefaultParagraphFont"/>
    <w:uiPriority w:val="99"/>
    <w:semiHidden/>
    <w:rsid w:val="007F224B"/>
    <w:rPr>
      <w:color w:val="808080"/>
    </w:rPr>
  </w:style>
  <w:style w:type="paragraph" w:customStyle="1" w:styleId="Equation">
    <w:name w:val="Equation"/>
    <w:basedOn w:val="Normal"/>
    <w:qFormat/>
    <w:rsid w:val="00E1086B"/>
    <w:pPr>
      <w:spacing w:before="120" w:line="36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01AA"/>
    <w:rPr>
      <w:rFonts w:asciiTheme="majorHAnsi" w:eastAsiaTheme="majorEastAsia" w:hAnsiTheme="majorHAnsi" w:cstheme="majorHAnsi"/>
      <w:color w:val="000000" w:themeColor="tex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7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7D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7D4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44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oi.org/10.1089/elj.2018.0527" TargetMode="External"/><Relationship Id="rId18" Type="http://schemas.openxmlformats.org/officeDocument/2006/relationships/hyperlink" Target="https://ssrn.com/abstract=3828800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comments" Target="comments.xml"/><Relationship Id="rId12" Type="http://schemas.openxmlformats.org/officeDocument/2006/relationships/hyperlink" Target="https://bit.ly/3FI3AHa" TargetMode="External"/><Relationship Id="rId17" Type="http://schemas.openxmlformats.org/officeDocument/2006/relationships/hyperlink" Target="https://doi.org/10.2307/1958782" TargetMode="External"/><Relationship Id="rId2" Type="http://schemas.openxmlformats.org/officeDocument/2006/relationships/styles" Target="styles.xml"/><Relationship Id="rId16" Type="http://schemas.openxmlformats.org/officeDocument/2006/relationships/hyperlink" Target="http://doi.org/10.1089/elj.2020.0674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7/CBO9781316534342" TargetMode="External"/><Relationship Id="rId23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hyperlink" Target="http://doi.org/10.1089/elj.2018.0508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://www.jstor.org/stable/25791195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Principle_of_locality" TargetMode="External"/><Relationship Id="rId2" Type="http://schemas.openxmlformats.org/officeDocument/2006/relationships/hyperlink" Target="https://lipid.phys.cmu.edu/nagle/Technical/2019-04-19%20-%20Measuring%20Redistricting%20Bias%20&amp;%20Responsiveness.pdf" TargetMode="External"/><Relationship Id="rId1" Type="http://schemas.openxmlformats.org/officeDocument/2006/relationships/hyperlink" Target="https://lipid.phys.cmu.edu/nagle/Technical/FractionalSeats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7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277</cp:revision>
  <dcterms:created xsi:type="dcterms:W3CDTF">2021-10-15T14:47:00Z</dcterms:created>
  <dcterms:modified xsi:type="dcterms:W3CDTF">2021-11-29T19:16:00Z</dcterms:modified>
</cp:coreProperties>
</file>