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E20D2" w14:textId="74DB42F1" w:rsidR="00FF0949" w:rsidRPr="00A84C73" w:rsidRDefault="00B64A41" w:rsidP="0001675E">
      <w:pPr>
        <w:rPr>
          <w:b/>
          <w:bCs/>
          <w:sz w:val="28"/>
          <w:szCs w:val="28"/>
        </w:rPr>
      </w:pPr>
      <w:r>
        <w:rPr>
          <w:rStyle w:val="Heading1Char"/>
          <w:sz w:val="48"/>
          <w:szCs w:val="48"/>
        </w:rPr>
        <w:t>Estimating</w:t>
      </w:r>
      <w:r w:rsidR="00D026AD" w:rsidRPr="00A84C73">
        <w:rPr>
          <w:rStyle w:val="Heading1Char"/>
          <w:sz w:val="48"/>
          <w:szCs w:val="48"/>
        </w:rPr>
        <w:t xml:space="preserve"> </w:t>
      </w:r>
      <w:r w:rsidR="000477B3">
        <w:rPr>
          <w:rStyle w:val="Heading1Char"/>
          <w:sz w:val="48"/>
          <w:szCs w:val="48"/>
        </w:rPr>
        <w:t xml:space="preserve">Seats–Votes </w:t>
      </w:r>
      <w:r w:rsidR="00D026AD" w:rsidRPr="00A84C73">
        <w:rPr>
          <w:rStyle w:val="Heading1Char"/>
          <w:sz w:val="48"/>
          <w:szCs w:val="48"/>
        </w:rPr>
        <w:t>Partisan Advantage</w:t>
      </w:r>
    </w:p>
    <w:p w14:paraId="1BC6B69D" w14:textId="6D69BCC5" w:rsidR="00A95F93" w:rsidRDefault="00A95F93" w:rsidP="0001675E"/>
    <w:p w14:paraId="0C7BD0F3" w14:textId="487E91AA" w:rsidR="000769E9" w:rsidRDefault="000769E9" w:rsidP="0001675E">
      <w:r>
        <w:t>Alec Ramsay</w:t>
      </w:r>
      <w:r w:rsidR="00F565EE">
        <w:rPr>
          <w:rStyle w:val="FootnoteReference"/>
        </w:rPr>
        <w:footnoteReference w:id="1"/>
      </w:r>
    </w:p>
    <w:p w14:paraId="3A31DC3C" w14:textId="77777777" w:rsidR="00401F33" w:rsidRDefault="00401F33" w:rsidP="0001675E"/>
    <w:p w14:paraId="3AA6F8CE" w14:textId="5B5CD0CC" w:rsidR="00401F33" w:rsidRPr="00401F33" w:rsidRDefault="00401F33" w:rsidP="0001675E">
      <w:pPr>
        <w:rPr>
          <w:i/>
          <w:iCs/>
        </w:rPr>
      </w:pPr>
      <w:r w:rsidRPr="00401F33">
        <w:rPr>
          <w:i/>
          <w:iCs/>
        </w:rPr>
        <w:t xml:space="preserve">This an early draft for review </w:t>
      </w:r>
      <w:r w:rsidR="003774D8">
        <w:rPr>
          <w:i/>
          <w:iCs/>
        </w:rPr>
        <w:t>with placeholder</w:t>
      </w:r>
      <w:r w:rsidRPr="00401F33">
        <w:rPr>
          <w:i/>
          <w:iCs/>
        </w:rPr>
        <w:t xml:space="preserve"> citations</w:t>
      </w:r>
      <w:r w:rsidR="003774D8">
        <w:rPr>
          <w:i/>
          <w:iCs/>
        </w:rPr>
        <w:t xml:space="preserve"> that need to be formatted properly</w:t>
      </w:r>
      <w:r w:rsidRPr="00401F33">
        <w:rPr>
          <w:i/>
          <w:iCs/>
        </w:rPr>
        <w:t>.</w:t>
      </w:r>
    </w:p>
    <w:p w14:paraId="740E6738" w14:textId="77777777" w:rsidR="00E00985" w:rsidRDefault="00E00985" w:rsidP="00970935">
      <w:pPr>
        <w:rPr>
          <w:rStyle w:val="Heading1Char"/>
          <w:sz w:val="24"/>
          <w:szCs w:val="24"/>
        </w:rPr>
        <w:sectPr w:rsidR="00E00985">
          <w:footerReference w:type="even" r:id="rId8"/>
          <w:footerReference w:type="default" r:id="rId9"/>
          <w:footnotePr>
            <w:numFmt w:val="chicago"/>
          </w:footnotePr>
          <w:pgSz w:w="12240" w:h="15840"/>
          <w:pgMar w:top="1440" w:right="1440" w:bottom="1440" w:left="1440" w:header="720" w:footer="720" w:gutter="0"/>
          <w:cols w:space="720"/>
          <w:docGrid w:linePitch="360"/>
        </w:sectPr>
      </w:pPr>
    </w:p>
    <w:p w14:paraId="7716BA63" w14:textId="77777777" w:rsidR="00970935" w:rsidRPr="00970935" w:rsidRDefault="00970935" w:rsidP="00970935">
      <w:pPr>
        <w:rPr>
          <w:rStyle w:val="Heading1Char"/>
          <w:sz w:val="24"/>
          <w:szCs w:val="24"/>
        </w:rPr>
      </w:pPr>
    </w:p>
    <w:p w14:paraId="46FD4B57" w14:textId="598BB67E" w:rsidR="008E26A2" w:rsidRPr="00614413" w:rsidRDefault="008E26A2" w:rsidP="008E26A2">
      <w:pPr>
        <w:rPr>
          <w:b/>
          <w:bCs/>
        </w:rPr>
      </w:pPr>
      <w:r>
        <w:rPr>
          <w:rStyle w:val="Heading1Char"/>
        </w:rPr>
        <w:t>Abstract</w:t>
      </w:r>
    </w:p>
    <w:p w14:paraId="7E401FAB" w14:textId="77777777" w:rsidR="008E26A2" w:rsidRDefault="008E26A2" w:rsidP="008E26A2"/>
    <w:p w14:paraId="7D0BE5DE" w14:textId="28139CBC" w:rsidR="008E26A2" w:rsidRDefault="008E26A2" w:rsidP="008E26A2">
      <w:r>
        <w:t xml:space="preserve">A new class of metrics is defined that measure whether </w:t>
      </w:r>
      <w:r w:rsidR="00AA4DAD">
        <w:t xml:space="preserve">redistricting </w:t>
      </w:r>
      <w:r>
        <w:t>plans favor one political party or the other</w:t>
      </w:r>
      <w:r w:rsidR="008D7084">
        <w:t xml:space="preserve">: partisan advantage using a </w:t>
      </w:r>
      <w:proofErr w:type="gramStart"/>
      <w:r w:rsidR="008D7084">
        <w:t>seats</w:t>
      </w:r>
      <w:proofErr w:type="gramEnd"/>
      <w:r w:rsidR="008D7084">
        <w:t xml:space="preserve">–votes benchmark. </w:t>
      </w:r>
      <w:proofErr w:type="spellStart"/>
      <w:r>
        <w:t>Ten</w:t>
      </w:r>
      <w:proofErr w:type="spellEnd"/>
      <w:r>
        <w:t xml:space="preserve"> prominent measures of partisan bias are evaluated against a cross section of nearly three dozen past, present, and hypothetical congressional plans. Only (dis)proportionality and the </w:t>
      </w:r>
      <w:r w:rsidR="00B41F1D" w:rsidRPr="00B41F1D">
        <w:t xml:space="preserve">simplified form of </w:t>
      </w:r>
      <w:r w:rsidR="00D723CD">
        <w:t xml:space="preserve">the </w:t>
      </w:r>
      <w:r>
        <w:t xml:space="preserve">efficiency gap are shown to reliably </w:t>
      </w:r>
      <w:r w:rsidRPr="00271541">
        <w:t xml:space="preserve">measure </w:t>
      </w:r>
      <w:r w:rsidR="00CE54CD">
        <w:t>this</w:t>
      </w:r>
      <w:r>
        <w:t xml:space="preserve"> across a wide range of statewide vote shares. When </w:t>
      </w:r>
      <w:r w:rsidRPr="00271541">
        <w:t>winner's bonus</w:t>
      </w:r>
      <w:r>
        <w:t>es are</w:t>
      </w:r>
      <w:r w:rsidRPr="00271541">
        <w:t xml:space="preserve"> between one and two inclusive</w:t>
      </w:r>
      <w:r>
        <w:t>, plans are shown to have acceptable bias with respect to the efficiency gap ideal of 2-proportionality. The (dis)proportionality metric is extended to be more robust.</w:t>
      </w:r>
    </w:p>
    <w:p w14:paraId="4463E2B6" w14:textId="30D674E1" w:rsidR="008E26A2" w:rsidRDefault="008E26A2" w:rsidP="0001675E"/>
    <w:p w14:paraId="3D2EA6AF" w14:textId="77777777" w:rsidR="003D2592" w:rsidRPr="00614413" w:rsidRDefault="003D2592" w:rsidP="003D2592">
      <w:pPr>
        <w:rPr>
          <w:b/>
          <w:bCs/>
        </w:rPr>
      </w:pPr>
      <w:r>
        <w:rPr>
          <w:rStyle w:val="Heading1Char"/>
        </w:rPr>
        <w:t>Introduction</w:t>
      </w:r>
    </w:p>
    <w:p w14:paraId="41BD6383" w14:textId="77777777" w:rsidR="003D2592" w:rsidRDefault="003D2592" w:rsidP="003D2592"/>
    <w:p w14:paraId="199F6D90" w14:textId="77777777" w:rsidR="003D2592" w:rsidRDefault="003D2592" w:rsidP="003D2592">
      <w:r>
        <w:t>This paper proceeds as follows:</w:t>
      </w:r>
    </w:p>
    <w:p w14:paraId="143AE00B" w14:textId="77777777" w:rsidR="003D2592" w:rsidRDefault="003D2592" w:rsidP="003D2592"/>
    <w:p w14:paraId="31B1B859" w14:textId="77777777" w:rsidR="003D2592" w:rsidRDefault="003D2592" w:rsidP="003D2592">
      <w:pPr>
        <w:pStyle w:val="ListParagraph"/>
        <w:numPr>
          <w:ilvl w:val="0"/>
          <w:numId w:val="15"/>
        </w:numPr>
      </w:pPr>
      <w:r>
        <w:t>The many broad criteria for evaluating redistricting plans are identified, and the confusing depth of metrics in the bias subcategory are enumerated.</w:t>
      </w:r>
    </w:p>
    <w:p w14:paraId="09FA0A93" w14:textId="77777777" w:rsidR="003D2592" w:rsidRDefault="003D2592" w:rsidP="003D2592"/>
    <w:p w14:paraId="58744D84" w14:textId="3CF93ED6" w:rsidR="003D2592" w:rsidRDefault="003D2592" w:rsidP="003D2592">
      <w:pPr>
        <w:pStyle w:val="ListParagraph"/>
        <w:numPr>
          <w:ilvl w:val="0"/>
          <w:numId w:val="15"/>
        </w:numPr>
      </w:pPr>
      <w:r>
        <w:t xml:space="preserve">A </w:t>
      </w:r>
      <w:r w:rsidR="00570A2B">
        <w:t xml:space="preserve">relatively </w:t>
      </w:r>
      <w:r>
        <w:t>new concept that</w:t>
      </w:r>
      <w:r w:rsidRPr="0028701E">
        <w:t xml:space="preserve"> </w:t>
      </w:r>
      <w:r>
        <w:t xml:space="preserve">measures whether a plan favors one political party or the other </w:t>
      </w:r>
      <w:r w:rsidR="00570A2B">
        <w:t>–</w:t>
      </w:r>
      <w:r>
        <w:t xml:space="preserve"> partisan advantage</w:t>
      </w:r>
      <w:r w:rsidR="00570A2B">
        <w:t xml:space="preserve"> – is extended to use a </w:t>
      </w:r>
      <w:proofErr w:type="gramStart"/>
      <w:r w:rsidR="00570A2B">
        <w:t>seats</w:t>
      </w:r>
      <w:proofErr w:type="gramEnd"/>
      <w:r w:rsidR="00570A2B">
        <w:t>–votes benchmark</w:t>
      </w:r>
      <w:r w:rsidR="00F55156">
        <w:t xml:space="preserve"> instead of the original jurisdictional one</w:t>
      </w:r>
      <w:r>
        <w:t>.</w:t>
      </w:r>
    </w:p>
    <w:p w14:paraId="00CEAFED" w14:textId="77777777" w:rsidR="003D2592" w:rsidRDefault="003D2592" w:rsidP="003D2592"/>
    <w:p w14:paraId="143FCAF3" w14:textId="77777777" w:rsidR="003D2592" w:rsidRDefault="003D2592" w:rsidP="003D2592">
      <w:pPr>
        <w:pStyle w:val="ListParagraph"/>
        <w:numPr>
          <w:ilvl w:val="0"/>
          <w:numId w:val="15"/>
        </w:numPr>
      </w:pPr>
      <w:r>
        <w:t>Three sets of sample plans are described: the 2011 congressional plans for 11 states using a composite of 2012 election data, the corresponding 2020 plans for those states using a composite of 2016–2020 election results, and a dozen carefully curated hypothetical plans.</w:t>
      </w:r>
    </w:p>
    <w:p w14:paraId="6E599A6D" w14:textId="77777777" w:rsidR="003D2592" w:rsidRDefault="003D2592" w:rsidP="003D2592"/>
    <w:p w14:paraId="7E863E3E" w14:textId="0AFA1E52" w:rsidR="003D2592" w:rsidRDefault="003D2592" w:rsidP="003D2592">
      <w:pPr>
        <w:pStyle w:val="ListParagraph"/>
        <w:numPr>
          <w:ilvl w:val="0"/>
          <w:numId w:val="15"/>
        </w:numPr>
      </w:pPr>
      <w:r>
        <w:t>Ten prominent metrics are calculated</w:t>
      </w:r>
      <w:r w:rsidRPr="00B03860">
        <w:t xml:space="preserve"> </w:t>
      </w:r>
      <w:r>
        <w:t>for the sample plans: declination (</w:t>
      </w:r>
      <m:oMath>
        <m:r>
          <w:rPr>
            <w:rFonts w:ascii="Cambria Math" w:hAnsi="Cambria Math"/>
          </w:rPr>
          <m:t>δ</m:t>
        </m:r>
      </m:oMath>
      <w:r>
        <w:t>), lopsided outcomes (</w:t>
      </w:r>
      <m:oMath>
        <m:r>
          <w:rPr>
            <w:rFonts w:ascii="Cambria Math" w:hAnsi="Cambria Math"/>
          </w:rPr>
          <m:t>LO</m:t>
        </m:r>
      </m:oMath>
      <w:r>
        <w:t>), mean–median (</w:t>
      </w:r>
      <m:oMath>
        <m:r>
          <w:rPr>
            <w:rFonts w:ascii="Cambria Math" w:hAnsi="Cambria Math"/>
          </w:rPr>
          <m:t>MM</m:t>
        </m:r>
      </m:oMath>
      <w:r>
        <w:t>), s</w:t>
      </w:r>
      <w:r w:rsidRPr="006A01AA">
        <w:t>eats bias (</w:t>
      </w:r>
      <m:oMath>
        <m:sSub>
          <m:sSubPr>
            <m:ctrlPr>
              <w:rPr>
                <w:rFonts w:ascii="Cambria Math" w:hAnsi="Cambria Math"/>
              </w:rPr>
            </m:ctrlPr>
          </m:sSubPr>
          <m:e>
            <m:r>
              <w:rPr>
                <w:rFonts w:ascii="Cambria Math" w:hAnsi="Cambria Math"/>
              </w:rPr>
              <m:t>α</m:t>
            </m:r>
          </m:e>
          <m:sub>
            <m:r>
              <w:rPr>
                <w:rFonts w:ascii="Cambria Math" w:hAnsi="Cambria Math"/>
              </w:rPr>
              <m:t>S</m:t>
            </m:r>
          </m:sub>
        </m:sSub>
      </m:oMath>
      <w:r>
        <w:t>), votes bias (</w:t>
      </w:r>
      <m:oMath>
        <m:sSub>
          <m:sSubPr>
            <m:ctrlPr>
              <w:rPr>
                <w:rFonts w:ascii="Cambria Math" w:hAnsi="Cambria Math"/>
                <w:i/>
              </w:rPr>
            </m:ctrlPr>
          </m:sSubPr>
          <m:e>
            <m:r>
              <w:rPr>
                <w:rFonts w:ascii="Cambria Math" w:hAnsi="Cambria Math"/>
              </w:rPr>
              <m:t>α</m:t>
            </m:r>
          </m:e>
          <m:sub>
            <m:r>
              <w:rPr>
                <w:rFonts w:ascii="Cambria Math" w:hAnsi="Cambria Math"/>
              </w:rPr>
              <m:t>V</m:t>
            </m:r>
          </m:sub>
        </m:sSub>
      </m:oMath>
      <w:r>
        <w:t>), geometric seats bias (</w:t>
      </w:r>
      <m:oMath>
        <m:r>
          <w:rPr>
            <w:rFonts w:ascii="Cambria Math" w:hAnsi="Cambria Math"/>
          </w:rPr>
          <m:t>β</m:t>
        </m:r>
      </m:oMath>
      <w:r>
        <w:t>), global symmetry (</w:t>
      </w:r>
      <m:oMath>
        <m:r>
          <w:rPr>
            <w:rFonts w:ascii="Cambria Math" w:hAnsi="Cambria Math"/>
          </w:rPr>
          <m:t>GS</m:t>
        </m:r>
      </m:oMath>
      <w:r>
        <w:t>), proportional (</w:t>
      </w:r>
      <m:oMath>
        <m:r>
          <w:rPr>
            <w:rFonts w:ascii="Cambria Math" w:hAnsi="Cambria Math"/>
          </w:rPr>
          <m:t>PR</m:t>
        </m:r>
      </m:oMath>
      <w:r>
        <w:t xml:space="preserve">), </w:t>
      </w:r>
      <w:r w:rsidR="00FE32F0">
        <w:t xml:space="preserve">the </w:t>
      </w:r>
      <w:r w:rsidR="00FE32F0" w:rsidRPr="00B41F1D">
        <w:t xml:space="preserve">simplified form of </w:t>
      </w:r>
      <w:r w:rsidR="00FE32F0">
        <w:t xml:space="preserve">the </w:t>
      </w:r>
      <w:r>
        <w:t>efficiency gap (</w:t>
      </w:r>
      <m:oMath>
        <m:r>
          <w:rPr>
            <w:rFonts w:ascii="Cambria Math" w:hAnsi="Cambria Math"/>
          </w:rPr>
          <m:t>EG</m:t>
        </m:r>
      </m:oMath>
      <w:r>
        <w:t>), and gamma (</w:t>
      </w:r>
      <m:oMath>
        <m:r>
          <w:rPr>
            <w:rFonts w:ascii="Cambria Math" w:hAnsi="Cambria Math"/>
          </w:rPr>
          <m:t>γ</m:t>
        </m:r>
      </m:oMath>
      <w:r>
        <w:t xml:space="preserve">). </w:t>
      </w:r>
      <w:r w:rsidRPr="00F00CCE">
        <w:t xml:space="preserve">Only (dis)proportionality and the efficiency gap are shown to reliably measure </w:t>
      </w:r>
      <w:r w:rsidR="00BE2416">
        <w:t xml:space="preserve">seats–votes </w:t>
      </w:r>
      <w:r w:rsidRPr="00F00CCE">
        <w:t>partisan advantage across a wide range of statewide vote shares.</w:t>
      </w:r>
    </w:p>
    <w:p w14:paraId="7F0ED5AB" w14:textId="77777777" w:rsidR="003D2592" w:rsidRDefault="003D2592" w:rsidP="003D2592"/>
    <w:p w14:paraId="7727F8C7" w14:textId="77777777" w:rsidR="003D2592" w:rsidRDefault="003D2592" w:rsidP="003D2592">
      <w:pPr>
        <w:pStyle w:val="ListParagraph"/>
        <w:numPr>
          <w:ilvl w:val="0"/>
          <w:numId w:val="15"/>
        </w:numPr>
      </w:pPr>
      <w:r>
        <w:t>For illustrative purposes, the robustness of the (dis)proportionality measure is increased.</w:t>
      </w:r>
    </w:p>
    <w:p w14:paraId="537FEDA4" w14:textId="77777777" w:rsidR="003D2592" w:rsidRDefault="003D2592" w:rsidP="003D2592">
      <w:pPr>
        <w:pStyle w:val="ListParagraph"/>
      </w:pPr>
    </w:p>
    <w:p w14:paraId="6DCC9673" w14:textId="77777777" w:rsidR="003D2592" w:rsidRDefault="003D2592" w:rsidP="003D2592">
      <w:r>
        <w:t>Buckle up!</w:t>
      </w:r>
    </w:p>
    <w:p w14:paraId="2E4E9F1A" w14:textId="5A6B7D9D" w:rsidR="008E26A2" w:rsidRDefault="008E26A2" w:rsidP="0001675E"/>
    <w:p w14:paraId="49584188" w14:textId="77777777" w:rsidR="008D0B9F" w:rsidRPr="00D116EC" w:rsidRDefault="008D0B9F" w:rsidP="00DD7C50">
      <w:pPr>
        <w:keepNext/>
        <w:rPr>
          <w:b/>
          <w:bCs/>
        </w:rPr>
      </w:pPr>
      <w:r>
        <w:rPr>
          <w:rStyle w:val="Heading1Char"/>
        </w:rPr>
        <w:t>1. Background</w:t>
      </w:r>
    </w:p>
    <w:p w14:paraId="59D6CD74" w14:textId="77777777" w:rsidR="008D0B9F" w:rsidRDefault="008D0B9F" w:rsidP="008D0B9F"/>
    <w:p w14:paraId="2094CD2F" w14:textId="61DFD159" w:rsidR="008D0B9F" w:rsidRDefault="008D0B9F" w:rsidP="008D0B9F">
      <w:r>
        <w:t>Redistricting technology has been substantially democratized this census cycle. Anyone with access to a web browser can draw block-level maps suitable for submission to redistricting officials</w:t>
      </w:r>
      <w:r>
        <w:rPr>
          <w:rStyle w:val="FootnoteReference"/>
        </w:rPr>
        <w:footnoteReference w:id="2"/>
      </w:r>
      <w:r>
        <w:t xml:space="preserve"> and can quickly evaluate plans they and others draw,</w:t>
      </w:r>
      <w:r>
        <w:rPr>
          <w:rStyle w:val="FootnoteReference"/>
        </w:rPr>
        <w:footnoteReference w:id="3"/>
      </w:r>
      <w:r>
        <w:t xml:space="preserve"> all free of charge.</w:t>
      </w:r>
    </w:p>
    <w:p w14:paraId="07904916" w14:textId="77777777" w:rsidR="008D0B9F" w:rsidRDefault="008D0B9F" w:rsidP="008D0B9F"/>
    <w:p w14:paraId="45508FA2" w14:textId="77777777" w:rsidR="008D0B9F" w:rsidRDefault="008D0B9F" w:rsidP="008D0B9F">
      <w:r>
        <w:t>People consider many factors when evaluating redistricting plans, including:</w:t>
      </w:r>
      <w:r>
        <w:rPr>
          <w:rStyle w:val="FootnoteReference"/>
        </w:rPr>
        <w:footnoteReference w:id="4"/>
      </w:r>
    </w:p>
    <w:p w14:paraId="3EA30DFF" w14:textId="77777777" w:rsidR="008D0B9F" w:rsidRDefault="008D0B9F" w:rsidP="008D0B9F"/>
    <w:p w14:paraId="105CC8CE" w14:textId="77777777" w:rsidR="008D0B9F" w:rsidRDefault="008D0B9F" w:rsidP="008D0B9F">
      <w:pPr>
        <w:pStyle w:val="ListParagraph"/>
        <w:numPr>
          <w:ilvl w:val="0"/>
          <w:numId w:val="16"/>
        </w:numPr>
      </w:pPr>
      <w:r>
        <w:t>Basic requirements, like whether a plan is complete and contiguous</w:t>
      </w:r>
      <w:r>
        <w:rPr>
          <w:rStyle w:val="FootnoteReference"/>
        </w:rPr>
        <w:footnoteReference w:id="5"/>
      </w:r>
    </w:p>
    <w:p w14:paraId="52904028" w14:textId="77777777" w:rsidR="008D0B9F" w:rsidRDefault="008D0B9F" w:rsidP="008D0B9F">
      <w:pPr>
        <w:pStyle w:val="ListParagraph"/>
        <w:numPr>
          <w:ilvl w:val="0"/>
          <w:numId w:val="16"/>
        </w:numPr>
      </w:pPr>
      <w:r>
        <w:t>Straightforward formulas, like population deviation and measures of compactness</w:t>
      </w:r>
      <w:r>
        <w:rPr>
          <w:rStyle w:val="FootnoteReference"/>
        </w:rPr>
        <w:footnoteReference w:id="6"/>
      </w:r>
    </w:p>
    <w:p w14:paraId="02FA16A7" w14:textId="77777777" w:rsidR="008D0B9F" w:rsidRDefault="008D0B9F" w:rsidP="008D0B9F">
      <w:pPr>
        <w:pStyle w:val="ListParagraph"/>
        <w:numPr>
          <w:ilvl w:val="0"/>
          <w:numId w:val="16"/>
        </w:numPr>
      </w:pPr>
      <w:r>
        <w:t>Much discussed partisan measures of bias &amp; responsiveness</w:t>
      </w:r>
      <w:r>
        <w:rPr>
          <w:rStyle w:val="FootnoteReference"/>
        </w:rPr>
        <w:footnoteReference w:id="7"/>
      </w:r>
      <w:r>
        <w:t xml:space="preserve"> </w:t>
      </w:r>
    </w:p>
    <w:p w14:paraId="4F43A928" w14:textId="77777777" w:rsidR="008D0B9F" w:rsidRDefault="008D0B9F" w:rsidP="008D0B9F">
      <w:pPr>
        <w:pStyle w:val="ListParagraph"/>
        <w:numPr>
          <w:ilvl w:val="0"/>
          <w:numId w:val="16"/>
        </w:numPr>
      </w:pPr>
      <w:r>
        <w:t>How much counties, cities, and communities are split by districts</w:t>
      </w:r>
      <w:r>
        <w:rPr>
          <w:rStyle w:val="FootnoteReference"/>
        </w:rPr>
        <w:footnoteReference w:id="8"/>
      </w:r>
      <w:r>
        <w:t xml:space="preserve"> </w:t>
      </w:r>
    </w:p>
    <w:p w14:paraId="71BD4EFA" w14:textId="77777777" w:rsidR="008D0B9F" w:rsidRDefault="008D0B9F" w:rsidP="008D0B9F">
      <w:pPr>
        <w:pStyle w:val="ListParagraph"/>
        <w:numPr>
          <w:ilvl w:val="0"/>
          <w:numId w:val="16"/>
        </w:numPr>
      </w:pPr>
      <w:r>
        <w:t>Whether districts are VRA compliant—a complex analysis that requires experts,</w:t>
      </w:r>
      <w:r>
        <w:rPr>
          <w:rStyle w:val="FootnoteReference"/>
        </w:rPr>
        <w:footnoteReference w:id="9"/>
      </w:r>
      <w:r>
        <w:t xml:space="preserve"> and</w:t>
      </w:r>
    </w:p>
    <w:p w14:paraId="068BCFCC" w14:textId="77777777" w:rsidR="008D0B9F" w:rsidRDefault="008D0B9F" w:rsidP="008D0B9F">
      <w:pPr>
        <w:pStyle w:val="ListParagraph"/>
        <w:numPr>
          <w:ilvl w:val="0"/>
          <w:numId w:val="16"/>
        </w:numPr>
      </w:pPr>
      <w:r>
        <w:t>Purely qualitative considerations, such as the effects on incumbents and preservation of district cores</w:t>
      </w:r>
    </w:p>
    <w:p w14:paraId="3CAF8C11" w14:textId="77777777" w:rsidR="008D0B9F" w:rsidRDefault="008D0B9F" w:rsidP="008D0B9F"/>
    <w:p w14:paraId="359D428A" w14:textId="77777777" w:rsidR="008D0B9F" w:rsidRDefault="008D0B9F" w:rsidP="008D0B9F">
      <w:r>
        <w:t>Even just under the “bias” subset of the partisan dimension, there are ten prominent metrics that may yield seemingly conflicting results for any given map:</w:t>
      </w:r>
      <w:r>
        <w:rPr>
          <w:rStyle w:val="FootnoteReference"/>
        </w:rPr>
        <w:footnoteReference w:id="10"/>
      </w:r>
    </w:p>
    <w:p w14:paraId="6D0E8438" w14:textId="77777777" w:rsidR="008D0B9F" w:rsidRDefault="008D0B9F" w:rsidP="008D0B9F"/>
    <w:p w14:paraId="60F33B3F" w14:textId="77777777" w:rsidR="008D0B9F" w:rsidRDefault="008D0B9F" w:rsidP="008D0B9F">
      <w:pPr>
        <w:pStyle w:val="ListParagraph"/>
        <w:numPr>
          <w:ilvl w:val="0"/>
          <w:numId w:val="17"/>
        </w:numPr>
      </w:pPr>
      <w:r>
        <w:lastRenderedPageBreak/>
        <w:t>Declination (</w:t>
      </w:r>
      <m:oMath>
        <m:r>
          <w:rPr>
            <w:rFonts w:ascii="Cambria Math" w:hAnsi="Cambria Math"/>
          </w:rPr>
          <m:t>δ</m:t>
        </m:r>
      </m:oMath>
      <w:r>
        <w:t>)</w:t>
      </w:r>
    </w:p>
    <w:p w14:paraId="6E34D718" w14:textId="77777777" w:rsidR="008D0B9F" w:rsidRDefault="008D0B9F" w:rsidP="008D0B9F">
      <w:pPr>
        <w:pStyle w:val="ListParagraph"/>
        <w:numPr>
          <w:ilvl w:val="0"/>
          <w:numId w:val="17"/>
        </w:numPr>
      </w:pPr>
      <w:r>
        <w:t>Lopsided outcomes (</w:t>
      </w:r>
      <m:oMath>
        <m:r>
          <w:rPr>
            <w:rFonts w:ascii="Cambria Math" w:hAnsi="Cambria Math"/>
          </w:rPr>
          <m:t>LO</m:t>
        </m:r>
      </m:oMath>
      <w:r>
        <w:t>)</w:t>
      </w:r>
    </w:p>
    <w:p w14:paraId="7C2CB38B" w14:textId="77777777" w:rsidR="008D0B9F" w:rsidRDefault="008D0B9F" w:rsidP="008D0B9F">
      <w:pPr>
        <w:pStyle w:val="ListParagraph"/>
        <w:numPr>
          <w:ilvl w:val="0"/>
          <w:numId w:val="17"/>
        </w:numPr>
      </w:pPr>
      <w:r>
        <w:t>Mean–median (</w:t>
      </w:r>
      <m:oMath>
        <m:r>
          <w:rPr>
            <w:rFonts w:ascii="Cambria Math" w:hAnsi="Cambria Math"/>
          </w:rPr>
          <m:t>MM</m:t>
        </m:r>
      </m:oMath>
      <w:r>
        <w:t>)</w:t>
      </w:r>
    </w:p>
    <w:p w14:paraId="59F0D734" w14:textId="77777777" w:rsidR="008D0B9F" w:rsidRPr="006A01AA" w:rsidRDefault="008D0B9F" w:rsidP="008D0B9F">
      <w:pPr>
        <w:pStyle w:val="ListParagraph"/>
        <w:numPr>
          <w:ilvl w:val="0"/>
          <w:numId w:val="17"/>
        </w:numPr>
      </w:pPr>
      <w:r w:rsidRPr="006A01AA">
        <w:t>Seats bias (</w:t>
      </w:r>
      <m:oMath>
        <m:sSub>
          <m:sSubPr>
            <m:ctrlPr>
              <w:rPr>
                <w:rFonts w:ascii="Cambria Math" w:hAnsi="Cambria Math"/>
              </w:rPr>
            </m:ctrlPr>
          </m:sSubPr>
          <m:e>
            <m:r>
              <w:rPr>
                <w:rFonts w:ascii="Cambria Math" w:hAnsi="Cambria Math"/>
              </w:rPr>
              <m:t>α</m:t>
            </m:r>
          </m:e>
          <m:sub>
            <m:r>
              <w:rPr>
                <w:rFonts w:ascii="Cambria Math" w:hAnsi="Cambria Math"/>
              </w:rPr>
              <m:t>S</m:t>
            </m:r>
          </m:sub>
        </m:sSub>
      </m:oMath>
      <w:r>
        <w:t>)</w:t>
      </w:r>
    </w:p>
    <w:p w14:paraId="077CBB8A" w14:textId="77777777" w:rsidR="008D0B9F" w:rsidRDefault="008D0B9F" w:rsidP="008D0B9F">
      <w:pPr>
        <w:pStyle w:val="ListParagraph"/>
        <w:numPr>
          <w:ilvl w:val="0"/>
          <w:numId w:val="17"/>
        </w:numPr>
      </w:pPr>
      <w:r>
        <w:t>Votes bias (</w:t>
      </w:r>
      <m:oMath>
        <m:sSub>
          <m:sSubPr>
            <m:ctrlPr>
              <w:rPr>
                <w:rFonts w:ascii="Cambria Math" w:hAnsi="Cambria Math"/>
                <w:i/>
              </w:rPr>
            </m:ctrlPr>
          </m:sSubPr>
          <m:e>
            <m:r>
              <w:rPr>
                <w:rFonts w:ascii="Cambria Math" w:hAnsi="Cambria Math"/>
              </w:rPr>
              <m:t>α</m:t>
            </m:r>
          </m:e>
          <m:sub>
            <m:r>
              <w:rPr>
                <w:rFonts w:ascii="Cambria Math" w:hAnsi="Cambria Math"/>
              </w:rPr>
              <m:t>V</m:t>
            </m:r>
          </m:sub>
        </m:sSub>
      </m:oMath>
      <w:r>
        <w:t>)</w:t>
      </w:r>
    </w:p>
    <w:p w14:paraId="573341D9" w14:textId="77777777" w:rsidR="008D0B9F" w:rsidRPr="00557A92" w:rsidRDefault="008D0B9F" w:rsidP="008D0B9F">
      <w:pPr>
        <w:pStyle w:val="ListParagraph"/>
        <w:numPr>
          <w:ilvl w:val="0"/>
          <w:numId w:val="17"/>
        </w:numPr>
      </w:pPr>
      <w:r>
        <w:t>Geometric seats bias (</w:t>
      </w:r>
      <m:oMath>
        <m:r>
          <w:rPr>
            <w:rFonts w:ascii="Cambria Math" w:hAnsi="Cambria Math"/>
          </w:rPr>
          <m:t>β</m:t>
        </m:r>
      </m:oMath>
      <w:r>
        <w:t>)</w:t>
      </w:r>
    </w:p>
    <w:p w14:paraId="6471FBD2" w14:textId="77777777" w:rsidR="008D0B9F" w:rsidRDefault="008D0B9F" w:rsidP="008D0B9F">
      <w:pPr>
        <w:pStyle w:val="ListParagraph"/>
        <w:numPr>
          <w:ilvl w:val="0"/>
          <w:numId w:val="17"/>
        </w:numPr>
      </w:pPr>
      <w:r>
        <w:t>Global symmetry (</w:t>
      </w:r>
      <m:oMath>
        <m:r>
          <w:rPr>
            <w:rFonts w:ascii="Cambria Math" w:hAnsi="Cambria Math"/>
          </w:rPr>
          <m:t>GS</m:t>
        </m:r>
      </m:oMath>
      <w:r>
        <w:t>)</w:t>
      </w:r>
    </w:p>
    <w:p w14:paraId="03D686E7" w14:textId="77777777" w:rsidR="008D0B9F" w:rsidRPr="006A01AA" w:rsidRDefault="008D0B9F" w:rsidP="008D0B9F">
      <w:pPr>
        <w:pStyle w:val="ListParagraph"/>
        <w:numPr>
          <w:ilvl w:val="0"/>
          <w:numId w:val="17"/>
        </w:numPr>
      </w:pPr>
      <w:r>
        <w:t>Proportional (</w:t>
      </w:r>
      <m:oMath>
        <m:r>
          <w:rPr>
            <w:rFonts w:ascii="Cambria Math" w:hAnsi="Cambria Math"/>
          </w:rPr>
          <m:t>PR</m:t>
        </m:r>
      </m:oMath>
      <w:r>
        <w:t>)</w:t>
      </w:r>
    </w:p>
    <w:p w14:paraId="5801F6B3" w14:textId="665D5E23" w:rsidR="008D0B9F" w:rsidRDefault="00D8221F" w:rsidP="008D0B9F">
      <w:pPr>
        <w:pStyle w:val="ListParagraph"/>
        <w:numPr>
          <w:ilvl w:val="0"/>
          <w:numId w:val="17"/>
        </w:numPr>
      </w:pPr>
      <w:r>
        <w:t>Simplified e</w:t>
      </w:r>
      <w:r w:rsidR="008D0B9F">
        <w:t>fficiency gap (</w:t>
      </w:r>
      <m:oMath>
        <m:r>
          <w:rPr>
            <w:rFonts w:ascii="Cambria Math" w:hAnsi="Cambria Math"/>
          </w:rPr>
          <m:t>EG</m:t>
        </m:r>
      </m:oMath>
      <w:r w:rsidR="008D0B9F">
        <w:t>),</w:t>
      </w:r>
      <w:r w:rsidR="0096183E">
        <w:rPr>
          <w:rStyle w:val="FootnoteReference"/>
        </w:rPr>
        <w:footnoteReference w:id="11"/>
      </w:r>
      <w:r w:rsidR="008D0B9F">
        <w:t xml:space="preserve"> and</w:t>
      </w:r>
    </w:p>
    <w:p w14:paraId="5E62265D" w14:textId="77777777" w:rsidR="008D0B9F" w:rsidRDefault="008D0B9F" w:rsidP="008D0B9F">
      <w:pPr>
        <w:pStyle w:val="ListParagraph"/>
        <w:numPr>
          <w:ilvl w:val="0"/>
          <w:numId w:val="17"/>
        </w:numPr>
      </w:pPr>
      <w:r>
        <w:t>Gamma (</w:t>
      </w:r>
      <m:oMath>
        <m:r>
          <w:rPr>
            <w:rFonts w:ascii="Cambria Math" w:hAnsi="Cambria Math"/>
          </w:rPr>
          <m:t>γ</m:t>
        </m:r>
      </m:oMath>
      <w:r>
        <w:t>)</w:t>
      </w:r>
    </w:p>
    <w:p w14:paraId="7666A8DB" w14:textId="77777777" w:rsidR="008D0B9F" w:rsidRDefault="008D0B9F" w:rsidP="008D0B9F"/>
    <w:p w14:paraId="5B68C90D" w14:textId="77777777" w:rsidR="008D0B9F" w:rsidRDefault="008D0B9F" w:rsidP="008D0B9F">
      <w:r>
        <w:t>To complicate matters, different experts focus on different subsets of these metrics: There is no consensus about which of them to use under what circumstances. Moreover, some analysts report simple delegation splits in whole seats, e.g., 10–3 Republicans/Democrats instead of any of these formal metrics.</w:t>
      </w:r>
      <w:r>
        <w:rPr>
          <w:rStyle w:val="FootnoteReference"/>
        </w:rPr>
        <w:footnoteReference w:id="12"/>
      </w:r>
      <w:r>
        <w:t xml:space="preserve"> </w:t>
      </w:r>
    </w:p>
    <w:p w14:paraId="5DF5DC5A" w14:textId="77777777" w:rsidR="008D0B9F" w:rsidRDefault="008D0B9F" w:rsidP="008D0B9F"/>
    <w:p w14:paraId="3C13405D" w14:textId="77777777" w:rsidR="008D0B9F" w:rsidRDefault="008D0B9F" w:rsidP="008D0B9F">
      <w:r>
        <w:t>Despite this unsettled state, some states haven added language like this to their state constitutions:</w:t>
      </w:r>
    </w:p>
    <w:p w14:paraId="4998F731" w14:textId="77777777" w:rsidR="008D0B9F" w:rsidRPr="00703E6A" w:rsidRDefault="008D0B9F" w:rsidP="008D0B9F"/>
    <w:p w14:paraId="0C4FF09D" w14:textId="77777777" w:rsidR="008D0B9F" w:rsidRDefault="008D0B9F" w:rsidP="008D0B9F">
      <w:pPr>
        <w:ind w:left="720"/>
      </w:pPr>
      <w:r w:rsidRPr="00D40B8C">
        <w:t>(a)</w:t>
      </w:r>
      <w:r w:rsidRPr="00D40B8C">
        <w:t> </w:t>
      </w:r>
      <w:r w:rsidRPr="00D40B8C">
        <w:t xml:space="preserve">No apportionment plan or individual district shall be drawn with the intent to </w:t>
      </w:r>
      <w:r w:rsidRPr="00D40B8C">
        <w:rPr>
          <w:b/>
          <w:bCs/>
        </w:rPr>
        <w:t>favor or disfavor a political party</w:t>
      </w:r>
      <w:r w:rsidRPr="00D40B8C">
        <w:t xml:space="preserve"> or an incumbent; and districts shall not be drawn with the intent or result of denying or abridging the equal opportunity of racial or language minorities to participate in the political process or to diminish their ability to elect representatives of their choice; and districts shall consist of contiguous territory.</w:t>
      </w:r>
      <w:r>
        <w:rPr>
          <w:rStyle w:val="FootnoteReference"/>
        </w:rPr>
        <w:footnoteReference w:id="13"/>
      </w:r>
      <w:r>
        <w:t xml:space="preserve"> [emphasis </w:t>
      </w:r>
      <w:proofErr w:type="gramStart"/>
      <w:r>
        <w:t>added]  --</w:t>
      </w:r>
      <w:proofErr w:type="gramEnd"/>
      <w:r>
        <w:t>Florida</w:t>
      </w:r>
    </w:p>
    <w:p w14:paraId="71CE7A65" w14:textId="77777777" w:rsidR="008D0B9F" w:rsidRDefault="008D0B9F" w:rsidP="008D0B9F">
      <w:pPr>
        <w:ind w:left="720"/>
      </w:pPr>
    </w:p>
    <w:p w14:paraId="193A59D9" w14:textId="77777777" w:rsidR="008D0B9F" w:rsidRDefault="008D0B9F" w:rsidP="008D0B9F">
      <w:pPr>
        <w:ind w:left="720"/>
      </w:pPr>
      <w:r w:rsidRPr="00C3549C">
        <w:t xml:space="preserve">(d) Districts shall not provide a </w:t>
      </w:r>
      <w:r w:rsidRPr="00C3549C">
        <w:rPr>
          <w:b/>
          <w:bCs/>
        </w:rPr>
        <w:t>disproportionate advantage to any political party</w:t>
      </w:r>
      <w:r w:rsidRPr="00C3549C">
        <w:t>. A disproportionate advantage to a political party shall be determined using accepted measures of partisan fairness.</w:t>
      </w:r>
      <w:r>
        <w:rPr>
          <w:rStyle w:val="FootnoteReference"/>
        </w:rPr>
        <w:footnoteReference w:id="14"/>
      </w:r>
      <w:r>
        <w:t xml:space="preserve"> [emphasis </w:t>
      </w:r>
      <w:proofErr w:type="gramStart"/>
      <w:r>
        <w:t>added]  --</w:t>
      </w:r>
      <w:proofErr w:type="gramEnd"/>
      <w:r>
        <w:t>Michigan</w:t>
      </w:r>
    </w:p>
    <w:p w14:paraId="6E9595B2" w14:textId="77777777" w:rsidR="008D0B9F" w:rsidRDefault="008D0B9F" w:rsidP="008D0B9F"/>
    <w:p w14:paraId="7B9CD2E2" w14:textId="77777777" w:rsidR="008D0B9F" w:rsidRDefault="008D0B9F" w:rsidP="008D0B9F">
      <w:r>
        <w:t>With tens of thousands of people now able to evaluate hundreds of thousands of redistricting plans,</w:t>
      </w:r>
      <w:r>
        <w:rPr>
          <w:rStyle w:val="FootnoteReference"/>
        </w:rPr>
        <w:footnoteReference w:id="15"/>
      </w:r>
      <w:r>
        <w:t xml:space="preserve"> this begs the question “How do you know whether a plan favors one party or the other, gives it an advantage?”</w:t>
      </w:r>
    </w:p>
    <w:p w14:paraId="68BECA06" w14:textId="0FB9CCF1" w:rsidR="008D0B9F" w:rsidRDefault="008D0B9F" w:rsidP="0001675E"/>
    <w:p w14:paraId="75246201" w14:textId="104A6754" w:rsidR="004E4DA0" w:rsidRPr="00614413" w:rsidRDefault="004E4DA0" w:rsidP="00894661">
      <w:pPr>
        <w:keepNext/>
        <w:rPr>
          <w:b/>
          <w:bCs/>
        </w:rPr>
      </w:pPr>
      <w:r>
        <w:rPr>
          <w:rStyle w:val="Heading1Char"/>
        </w:rPr>
        <w:lastRenderedPageBreak/>
        <w:t xml:space="preserve">2. </w:t>
      </w:r>
      <w:r w:rsidR="00BE580B">
        <w:rPr>
          <w:rStyle w:val="Heading1Char"/>
        </w:rPr>
        <w:t xml:space="preserve">Seats–Votes </w:t>
      </w:r>
      <w:r>
        <w:rPr>
          <w:rStyle w:val="Heading1Char"/>
        </w:rPr>
        <w:t>Partisan Advantage</w:t>
      </w:r>
    </w:p>
    <w:p w14:paraId="0FD0A871" w14:textId="77777777" w:rsidR="004E4DA0" w:rsidRDefault="004E4DA0" w:rsidP="00894661">
      <w:pPr>
        <w:keepNext/>
      </w:pPr>
    </w:p>
    <w:p w14:paraId="52DAB611" w14:textId="77777777" w:rsidR="004E4DA0" w:rsidRDefault="004E4DA0" w:rsidP="00894661">
      <w:pPr>
        <w:keepNext/>
      </w:pPr>
      <w:r>
        <w:t>The problem sketched above stems from loose terminology and imprecise definitions:</w:t>
      </w:r>
    </w:p>
    <w:p w14:paraId="2B877ACD" w14:textId="77777777" w:rsidR="004E4DA0" w:rsidRDefault="004E4DA0" w:rsidP="004E4DA0"/>
    <w:p w14:paraId="077ECF09" w14:textId="77777777" w:rsidR="004E4DA0" w:rsidRDefault="004E4DA0" w:rsidP="004E4DA0">
      <w:pPr>
        <w:pStyle w:val="ListParagraph"/>
        <w:numPr>
          <w:ilvl w:val="0"/>
          <w:numId w:val="20"/>
        </w:numPr>
      </w:pPr>
      <w:r>
        <w:t>People tend to use the terms “bias” and “fairness” interchangeably and sometimes use the term “partisan bias” generically even though it has a specific meaning in the literature.</w:t>
      </w:r>
      <w:r>
        <w:rPr>
          <w:rStyle w:val="FootnoteReference"/>
        </w:rPr>
        <w:footnoteReference w:id="16"/>
      </w:r>
      <w:r>
        <w:t xml:space="preserve"> </w:t>
      </w:r>
    </w:p>
    <w:p w14:paraId="26D94777" w14:textId="77777777" w:rsidR="004E4DA0" w:rsidRPr="003E5819" w:rsidRDefault="004E4DA0" w:rsidP="004E4DA0">
      <w:pPr>
        <w:pStyle w:val="ListParagraph"/>
        <w:numPr>
          <w:ilvl w:val="0"/>
          <w:numId w:val="20"/>
        </w:numPr>
      </w:pPr>
      <w:r>
        <w:t xml:space="preserve">Some view </w:t>
      </w:r>
      <w:r w:rsidRPr="003E5819">
        <w:t xml:space="preserve">what favors or harms a party </w:t>
      </w:r>
      <w:r>
        <w:t>as</w:t>
      </w:r>
      <w:r w:rsidRPr="003E5819">
        <w:t xml:space="preserve"> </w:t>
      </w:r>
      <w:r>
        <w:t>a</w:t>
      </w:r>
      <w:r w:rsidRPr="003E5819">
        <w:t xml:space="preserve"> combination of bias and responsiveness</w:t>
      </w:r>
      <w:r>
        <w:t>, even though the measures are independent</w:t>
      </w:r>
      <w:r w:rsidRPr="003E5819">
        <w:t>.</w:t>
      </w:r>
    </w:p>
    <w:p w14:paraId="789766BC" w14:textId="77777777" w:rsidR="004E4DA0" w:rsidRDefault="004E4DA0" w:rsidP="004E4DA0">
      <w:pPr>
        <w:pStyle w:val="ListParagraph"/>
        <w:numPr>
          <w:ilvl w:val="0"/>
          <w:numId w:val="20"/>
        </w:numPr>
      </w:pPr>
      <w:r>
        <w:t>People tend to treat all the measures of “bias” as though they measure the same thing – Instead, some metrics measure</w:t>
      </w:r>
      <w:r w:rsidRPr="00703E6A">
        <w:t xml:space="preserve"> partisan gerrymandering</w:t>
      </w:r>
      <w:r>
        <w:t xml:space="preserve"> </w:t>
      </w:r>
      <w:r w:rsidRPr="00703E6A">
        <w:t xml:space="preserve">via packing </w:t>
      </w:r>
      <w:r>
        <w:t>&amp;</w:t>
      </w:r>
      <w:r w:rsidRPr="00703E6A">
        <w:t xml:space="preserve"> cracking</w:t>
      </w:r>
      <w:r>
        <w:t>,</w:t>
      </w:r>
      <w:r>
        <w:rPr>
          <w:rStyle w:val="FootnoteReference"/>
        </w:rPr>
        <w:footnoteReference w:id="17"/>
      </w:r>
      <w:r>
        <w:t xml:space="preserve"> some measure the bias inherent in a state’s political geography,</w:t>
      </w:r>
      <w:r>
        <w:rPr>
          <w:rStyle w:val="FootnoteReference"/>
        </w:rPr>
        <w:footnoteReference w:id="18"/>
      </w:r>
      <w:r>
        <w:t xml:space="preserve"> others measure aspects of seats–votes curves to assess partisan symmetry,</w:t>
      </w:r>
      <w:r>
        <w:rPr>
          <w:rStyle w:val="FootnoteReference"/>
        </w:rPr>
        <w:footnoteReference w:id="19"/>
      </w:r>
      <w:r>
        <w:t xml:space="preserve"> and still others </w:t>
      </w:r>
      <w:r w:rsidRPr="00703E6A">
        <w:t>measure</w:t>
      </w:r>
      <w:r>
        <w:t xml:space="preserve"> “fairness” relative to some</w:t>
      </w:r>
      <w:r w:rsidRPr="00703E6A">
        <w:t xml:space="preserve"> normative </w:t>
      </w:r>
      <w:r>
        <w:t>standard such as proportionality.</w:t>
      </w:r>
      <w:r>
        <w:rPr>
          <w:rStyle w:val="FootnoteReference"/>
        </w:rPr>
        <w:footnoteReference w:id="20"/>
      </w:r>
    </w:p>
    <w:p w14:paraId="634D3793" w14:textId="77777777" w:rsidR="004E4DA0" w:rsidRDefault="004E4DA0" w:rsidP="004E4DA0"/>
    <w:p w14:paraId="2459F738" w14:textId="38224003" w:rsidR="004E4DA0" w:rsidRDefault="004E4DA0" w:rsidP="004E4DA0">
      <w:r>
        <w:t xml:space="preserve">For clarity, I will </w:t>
      </w:r>
      <w:r w:rsidR="00E05722">
        <w:t>extend</w:t>
      </w:r>
      <w:r>
        <w:t xml:space="preserve"> </w:t>
      </w:r>
      <w:r w:rsidR="00E05722">
        <w:t xml:space="preserve">the relatively </w:t>
      </w:r>
      <w:r>
        <w:t xml:space="preserve">new concept </w:t>
      </w:r>
      <w:r w:rsidR="00E05722">
        <w:t xml:space="preserve">of </w:t>
      </w:r>
      <w:r>
        <w:t>partisan advantage</w:t>
      </w:r>
      <w:r w:rsidR="00422525">
        <w:rPr>
          <w:rStyle w:val="FootnoteReference"/>
        </w:rPr>
        <w:footnoteReference w:id="21"/>
      </w:r>
      <w:r w:rsidR="00E05722">
        <w:t xml:space="preserve"> to</w:t>
      </w:r>
      <w:r w:rsidRPr="00AC104C">
        <w:t xml:space="preserve"> define a class of measures</w:t>
      </w:r>
      <w:r>
        <w:t xml:space="preserve"> in this last category</w:t>
      </w:r>
      <w:r w:rsidRPr="00AC104C">
        <w:t>.</w:t>
      </w:r>
    </w:p>
    <w:p w14:paraId="2A6DD9A4" w14:textId="77777777" w:rsidR="004E4DA0" w:rsidRDefault="004E4DA0" w:rsidP="004E4DA0"/>
    <w:p w14:paraId="53432831" w14:textId="77777777" w:rsidR="004E4DA0" w:rsidRPr="00AC104C" w:rsidRDefault="004E4DA0" w:rsidP="004E4DA0">
      <w:pPr>
        <w:jc w:val="center"/>
      </w:pPr>
      <w:r>
        <w:t>~/~</w:t>
      </w:r>
    </w:p>
    <w:p w14:paraId="5269C1CE" w14:textId="77777777" w:rsidR="004E4DA0" w:rsidRDefault="004E4DA0" w:rsidP="004E4DA0"/>
    <w:p w14:paraId="3E3CEC27" w14:textId="77777777" w:rsidR="004E4DA0" w:rsidRDefault="004E4DA0" w:rsidP="004E4DA0">
      <w:r>
        <w:t xml:space="preserve">In our political system dominated by two parties, the number of seats that candidates of the two parties win </w:t>
      </w:r>
      <w:proofErr w:type="gramStart"/>
      <w:r>
        <w:t>determines</w:t>
      </w:r>
      <w:proofErr w:type="gramEnd"/>
      <w:r>
        <w:t xml:space="preserve"> control of Congress and state legislatures: s</w:t>
      </w:r>
      <w:r w:rsidRPr="002F45D3">
        <w:t>eats won are political currency</w:t>
      </w:r>
      <w:r>
        <w:t>. Moreover, because district boundaries determine</w:t>
      </w:r>
      <w:r w:rsidRPr="002F45D3">
        <w:t xml:space="preserve"> how </w:t>
      </w:r>
      <w:r>
        <w:t xml:space="preserve">a state’s </w:t>
      </w:r>
      <w:r w:rsidRPr="002F45D3">
        <w:t xml:space="preserve">votes </w:t>
      </w:r>
      <w:r>
        <w:t xml:space="preserve">will </w:t>
      </w:r>
      <w:r w:rsidRPr="00A8553F">
        <w:t>likely</w:t>
      </w:r>
      <w:r>
        <w:t xml:space="preserve"> </w:t>
      </w:r>
      <w:r w:rsidRPr="002F45D3">
        <w:t>get translated into seats</w:t>
      </w:r>
      <w:r>
        <w:t>, single-member redistricting is, in effect, the process of deciding how many seats each party will win.</w:t>
      </w:r>
      <w:r>
        <w:rPr>
          <w:rStyle w:val="FootnoteReference"/>
        </w:rPr>
        <w:footnoteReference w:id="22"/>
      </w:r>
      <w:r>
        <w:t xml:space="preserve"> Hence, to gauge whether a proposed or adopted plan will favor one party or the other, you simply compare how votes will </w:t>
      </w:r>
      <w:r w:rsidRPr="00222B69">
        <w:rPr>
          <w:i/>
          <w:iCs/>
        </w:rPr>
        <w:t>likely</w:t>
      </w:r>
      <w:r>
        <w:t xml:space="preserve"> get translated into seats under the plan to some normative ideal for how they </w:t>
      </w:r>
      <w:r w:rsidRPr="00222B69">
        <w:rPr>
          <w:i/>
          <w:iCs/>
        </w:rPr>
        <w:t>should</w:t>
      </w:r>
      <w:r>
        <w:t xml:space="preserve"> get translated into seats in our representative democracy.</w:t>
      </w:r>
      <w:r>
        <w:rPr>
          <w:rStyle w:val="FootnoteReference"/>
        </w:rPr>
        <w:footnoteReference w:id="23"/>
      </w:r>
      <w:r>
        <w:t xml:space="preserve"> </w:t>
      </w:r>
    </w:p>
    <w:p w14:paraId="423C78B9" w14:textId="77777777" w:rsidR="004E4DA0" w:rsidRDefault="004E4DA0" w:rsidP="004E4DA0"/>
    <w:p w14:paraId="24F021E8" w14:textId="1FCD2C83" w:rsidR="004E4DA0" w:rsidRDefault="00C16A25" w:rsidP="004E4DA0">
      <w:r>
        <w:t>Simply put:</w:t>
      </w:r>
      <w:r w:rsidR="004E4DA0">
        <w:t xml:space="preserve"> </w:t>
      </w:r>
    </w:p>
    <w:p w14:paraId="2B518CD0" w14:textId="77777777" w:rsidR="004E4DA0" w:rsidRDefault="004E4DA0" w:rsidP="004E4DA0"/>
    <w:p w14:paraId="7293BEA2" w14:textId="77777777" w:rsidR="004E4DA0" w:rsidRPr="00DA5D37" w:rsidRDefault="004E4DA0" w:rsidP="004E4DA0">
      <w:pPr>
        <w:ind w:left="720"/>
        <w:rPr>
          <w:i/>
          <w:iCs/>
        </w:rPr>
      </w:pPr>
      <w:r>
        <w:rPr>
          <w:i/>
          <w:iCs/>
        </w:rPr>
        <w:t>Partisan advantage</w:t>
      </w:r>
      <w:r w:rsidRPr="00DA5D37">
        <w:rPr>
          <w:i/>
          <w:iCs/>
        </w:rPr>
        <w:t xml:space="preserve"> is the difference between the </w:t>
      </w:r>
      <w:r>
        <w:rPr>
          <w:i/>
          <w:iCs/>
        </w:rPr>
        <w:t>ideal</w:t>
      </w:r>
      <w:r w:rsidRPr="00DA5D37">
        <w:rPr>
          <w:i/>
          <w:iCs/>
        </w:rPr>
        <w:t xml:space="preserve"> and </w:t>
      </w:r>
      <w:r>
        <w:rPr>
          <w:i/>
          <w:iCs/>
        </w:rPr>
        <w:t>actual</w:t>
      </w:r>
      <w:r w:rsidRPr="00DA5D37">
        <w:rPr>
          <w:i/>
          <w:iCs/>
        </w:rPr>
        <w:t xml:space="preserve"> seat shares.</w:t>
      </w:r>
    </w:p>
    <w:p w14:paraId="07B7EE16" w14:textId="1E1D4EE2" w:rsidR="00C16A25" w:rsidRDefault="00031D10" w:rsidP="001811EA">
      <w:r w:rsidRPr="001811EA">
        <w:lastRenderedPageBreak/>
        <w:t xml:space="preserve">Whereas </w:t>
      </w:r>
      <w:proofErr w:type="spellStart"/>
      <w:r w:rsidRPr="001811EA">
        <w:t>Eguia</w:t>
      </w:r>
      <w:proofErr w:type="spellEnd"/>
      <w:r w:rsidRPr="001811EA">
        <w:t xml:space="preserve"> used a jurisdictional benchmark to account for political geography when he introduced the concept of partisan advantage</w:t>
      </w:r>
      <w:r w:rsidR="002D1863">
        <w:rPr>
          <w:rStyle w:val="FootnoteReference"/>
        </w:rPr>
        <w:footnoteReference w:id="24"/>
      </w:r>
      <w:r w:rsidR="00C16A25">
        <w:t xml:space="preserve"> </w:t>
      </w:r>
      <w:r w:rsidR="009C5D4D">
        <w:t>–</w:t>
      </w:r>
      <w:r w:rsidR="009C5D4D">
        <w:t xml:space="preserve"> call it </w:t>
      </w:r>
      <m:oMath>
        <m:r>
          <w:rPr>
            <w:rFonts w:ascii="Cambria Math" w:hAnsi="Cambria Math"/>
          </w:rPr>
          <m:t>PA|J</m:t>
        </m:r>
      </m:oMath>
      <w:r w:rsidR="009C5D4D">
        <w:t xml:space="preserve"> –</w:t>
      </w:r>
      <w:r w:rsidR="00232DAF">
        <w:t xml:space="preserve"> </w:t>
      </w:r>
      <w:r>
        <w:t xml:space="preserve">I use a </w:t>
      </w:r>
      <w:proofErr w:type="gramStart"/>
      <w:r>
        <w:t>seats</w:t>
      </w:r>
      <w:proofErr w:type="gramEnd"/>
      <w:r>
        <w:t>–votes benchmark</w:t>
      </w:r>
      <w:r w:rsidR="009C5D4D">
        <w:t xml:space="preserve"> which I dub</w:t>
      </w:r>
      <w:r w:rsidR="00232DAF">
        <w:t xml:space="preserve"> </w:t>
      </w:r>
      <m:oMath>
        <m:r>
          <w:rPr>
            <w:rFonts w:ascii="Cambria Math" w:hAnsi="Cambria Math"/>
          </w:rPr>
          <m:t>PA|SV</m:t>
        </m:r>
      </m:oMath>
      <w:r w:rsidR="00232DAF">
        <w:t>.</w:t>
      </w:r>
    </w:p>
    <w:p w14:paraId="3A0843DD" w14:textId="77777777" w:rsidR="00C16A25" w:rsidRDefault="00C16A25" w:rsidP="004E4DA0"/>
    <w:p w14:paraId="4892A4A0" w14:textId="3D810858" w:rsidR="004E4DA0" w:rsidRDefault="00C16A25" w:rsidP="004E4DA0">
      <w:r>
        <w:t>Specifically</w:t>
      </w:r>
      <w:r w:rsidR="004E4DA0">
        <w:t xml:space="preserve">, </w:t>
      </w:r>
      <w:r>
        <w:t xml:space="preserve">outside a courtroom </w:t>
      </w:r>
      <w:r w:rsidR="004E4DA0">
        <w:t xml:space="preserve">the more a plan will likely translate votes into </w:t>
      </w:r>
      <w:proofErr w:type="gramStart"/>
      <w:r w:rsidR="004E4DA0">
        <w:t>a number of</w:t>
      </w:r>
      <w:proofErr w:type="gramEnd"/>
      <w:r w:rsidR="004E4DA0">
        <w:t xml:space="preserve"> seats that closely matches the ideal seats–votes relationship, the more the plan is politically </w:t>
      </w:r>
      <w:r w:rsidR="00AF7A54">
        <w:t>neutral</w:t>
      </w:r>
      <w:r w:rsidR="004E4DA0">
        <w:t>. The more the map will likely translate votes into seats in a way that significantly deviates from that ideal relationship – whatever it may be</w:t>
      </w:r>
      <w:r w:rsidR="004C5818">
        <w:t>!</w:t>
      </w:r>
      <w:r w:rsidR="004E4DA0">
        <w:t xml:space="preserve"> – the more the plan favors one party or the other, the more it confers a </w:t>
      </w:r>
      <w:proofErr w:type="gramStart"/>
      <w:r w:rsidR="00C13818">
        <w:t>seats</w:t>
      </w:r>
      <w:proofErr w:type="gramEnd"/>
      <w:r w:rsidR="00C13818">
        <w:t xml:space="preserve">–votes </w:t>
      </w:r>
      <w:r w:rsidR="004E4DA0">
        <w:t>partisan advantage.</w:t>
      </w:r>
    </w:p>
    <w:p w14:paraId="3CC27C45" w14:textId="77777777" w:rsidR="004E4DA0" w:rsidRDefault="004E4DA0" w:rsidP="004E4DA0"/>
    <w:p w14:paraId="0C263D5C" w14:textId="77777777" w:rsidR="004E4DA0" w:rsidRDefault="004E4DA0" w:rsidP="004E4DA0">
      <w:pPr>
        <w:pStyle w:val="Heading2"/>
      </w:pPr>
      <w:r>
        <w:t>2.1. General Formula &amp; Units</w:t>
      </w:r>
    </w:p>
    <w:p w14:paraId="320CA12E" w14:textId="77777777" w:rsidR="004E4DA0" w:rsidRDefault="004E4DA0" w:rsidP="004E4DA0">
      <w:pPr>
        <w:keepNext/>
        <w:keepLines/>
      </w:pPr>
    </w:p>
    <w:p w14:paraId="29902260" w14:textId="21ED4AE4" w:rsidR="004E4DA0" w:rsidRDefault="004E4DA0" w:rsidP="004E4DA0">
      <w:r>
        <w:t xml:space="preserve">To formalize this, call the ideal seats–votes relationship </w:t>
      </w:r>
      <m:oMath>
        <m:r>
          <w:rPr>
            <w:rFonts w:ascii="Cambria Math" w:hAnsi="Cambria Math"/>
          </w:rPr>
          <m:t>S(V)</m:t>
        </m:r>
      </m:oMath>
      <w:r>
        <w:t xml:space="preserve">, where </w:t>
      </w:r>
      <m:oMath>
        <m:r>
          <w:rPr>
            <w:rFonts w:ascii="Cambria Math" w:hAnsi="Cambria Math"/>
          </w:rPr>
          <m:t>V</m:t>
        </m:r>
      </m:oMath>
      <w:r>
        <w:t xml:space="preserve"> and the resulting </w:t>
      </w:r>
      <m:oMath>
        <m:r>
          <w:rPr>
            <w:rFonts w:ascii="Cambria Math" w:hAnsi="Cambria Math"/>
          </w:rPr>
          <m:t>S</m:t>
        </m:r>
      </m:oMath>
      <w:r>
        <w:t xml:space="preserve"> are the two-party Democratic vote share and seat share, respectively.</w:t>
      </w:r>
      <w:r>
        <w:rPr>
          <w:rStyle w:val="FootnoteReference"/>
        </w:rPr>
        <w:footnoteReference w:id="25"/>
      </w:r>
      <w:r>
        <w:t xml:space="preserve"> As you will see below, there are many candidates for this expected seats-votes function</w:t>
      </w:r>
      <w:r w:rsidR="003205EE">
        <w:t>, not just proportionality</w:t>
      </w:r>
      <w:r>
        <w:t>.</w:t>
      </w:r>
    </w:p>
    <w:p w14:paraId="19838D5A" w14:textId="77777777" w:rsidR="004E4DA0" w:rsidRDefault="004E4DA0" w:rsidP="004E4DA0"/>
    <w:p w14:paraId="66D26C51" w14:textId="77777777" w:rsidR="004E4DA0" w:rsidRDefault="004E4DA0" w:rsidP="004E4DA0">
      <w:r>
        <w:t>Similarly, call the actual the statewide vote share</w:t>
      </w:r>
      <w:r>
        <w:rPr>
          <w:rStyle w:val="FootnoteReference"/>
        </w:rPr>
        <w:footnoteReference w:id="26"/>
      </w:r>
      <w:r>
        <w:t xml:space="preserve"> and the resulting seat share </w:t>
      </w:r>
      <m:oMath>
        <m:acc>
          <m:accPr>
            <m:chr m:val="̅"/>
            <m:ctrlPr>
              <w:rPr>
                <w:rFonts w:ascii="Cambria Math" w:hAnsi="Cambria Math"/>
                <w:i/>
              </w:rPr>
            </m:ctrlPr>
          </m:accPr>
          <m:e>
            <m:r>
              <w:rPr>
                <w:rFonts w:ascii="Cambria Math" w:hAnsi="Cambria Math"/>
              </w:rPr>
              <m:t>V</m:t>
            </m:r>
          </m:e>
        </m:acc>
      </m:oMath>
      <w:r>
        <w:t xml:space="preserve">and </w:t>
      </w:r>
      <m:oMath>
        <m:acc>
          <m:accPr>
            <m:chr m:val="̅"/>
            <m:ctrlPr>
              <w:rPr>
                <w:rFonts w:ascii="Cambria Math" w:hAnsi="Cambria Math"/>
                <w:i/>
              </w:rPr>
            </m:ctrlPr>
          </m:accPr>
          <m:e>
            <m:r>
              <w:rPr>
                <w:rFonts w:ascii="Cambria Math" w:hAnsi="Cambria Math"/>
              </w:rPr>
              <m:t>S</m:t>
            </m:r>
          </m:e>
        </m:acc>
      </m:oMath>
      <w:r>
        <w:t>, respectively.</w:t>
      </w:r>
    </w:p>
    <w:p w14:paraId="3192493A" w14:textId="77777777" w:rsidR="004E4DA0" w:rsidRDefault="004E4DA0" w:rsidP="004E4DA0"/>
    <w:p w14:paraId="540FFBD4" w14:textId="64E2B3E7" w:rsidR="004E4DA0" w:rsidRDefault="00443346" w:rsidP="004E4DA0">
      <w:r>
        <w:t>Seats–votes partisan advantage</w:t>
      </w:r>
      <w:r w:rsidR="004E4DA0">
        <w:t xml:space="preserve"> is simply the difference between these two:</w:t>
      </w:r>
      <w:r w:rsidR="002177C1">
        <w:rPr>
          <w:rStyle w:val="FootnoteReference"/>
        </w:rPr>
        <w:footnoteReference w:id="27"/>
      </w:r>
    </w:p>
    <w:p w14:paraId="043CD1FB" w14:textId="4CA86D34" w:rsidR="004E4DA0" w:rsidRDefault="004E4DA0" w:rsidP="004E4DA0">
      <w:pPr>
        <w:pStyle w:val="Equation"/>
      </w:pPr>
      <w:r>
        <w:rPr>
          <w:iCs/>
        </w:rPr>
        <w:tab/>
      </w:r>
      <m:oMath>
        <m:r>
          <w:rPr>
            <w:rFonts w:ascii="Cambria Math" w:hAnsi="Cambria Math"/>
          </w:rPr>
          <m:t>PA|SV</m:t>
        </m:r>
        <m:r>
          <m:rPr>
            <m:sty m:val="p"/>
          </m:rPr>
          <w:rPr>
            <w:rFonts w:ascii="Cambria Math" w:hAnsi="Cambria Math"/>
          </w:rPr>
          <m:t>=</m:t>
        </m:r>
        <m:r>
          <w:rPr>
            <w:rFonts w:ascii="Cambria Math" w:hAnsi="Cambria Math"/>
          </w:rPr>
          <m:t>S</m:t>
        </m:r>
        <m:r>
          <m:rPr>
            <m:sty m:val="p"/>
          </m:rPr>
          <w:rPr>
            <w:rFonts w:ascii="Cambria Math" w:hAnsi="Cambria Math"/>
          </w:rPr>
          <m:t>(</m:t>
        </m:r>
        <m:acc>
          <m:accPr>
            <m:chr m:val="̅"/>
            <m:ctrlPr>
              <w:rPr>
                <w:rFonts w:ascii="Cambria Math" w:hAnsi="Cambria Math"/>
                <w:i/>
              </w:rPr>
            </m:ctrlPr>
          </m:accPr>
          <m:e>
            <m:r>
              <w:rPr>
                <w:rFonts w:ascii="Cambria Math" w:hAnsi="Cambria Math"/>
              </w:rPr>
              <m:t>V</m:t>
            </m:r>
          </m:e>
        </m:acc>
        <m:r>
          <m:rPr>
            <m:sty m:val="p"/>
          </m:rPr>
          <w:rPr>
            <w:rFonts w:ascii="Cambria Math" w:hAnsi="Cambria Math"/>
          </w:rPr>
          <m:t>) -</m:t>
        </m:r>
        <m:acc>
          <m:accPr>
            <m:chr m:val="̅"/>
            <m:ctrlPr>
              <w:rPr>
                <w:rFonts w:ascii="Cambria Math" w:hAnsi="Cambria Math"/>
                <w:i/>
              </w:rPr>
            </m:ctrlPr>
          </m:accPr>
          <m:e>
            <m:r>
              <w:rPr>
                <w:rFonts w:ascii="Cambria Math" w:hAnsi="Cambria Math"/>
              </w:rPr>
              <m:t>S</m:t>
            </m:r>
          </m:e>
        </m:acc>
      </m:oMath>
      <w:r>
        <w:t xml:space="preserve"> </w:t>
      </w:r>
      <w:r>
        <w:tab/>
        <w:t>(1)</w:t>
      </w:r>
    </w:p>
    <w:p w14:paraId="2C50351E" w14:textId="115C39DA" w:rsidR="004E4DA0" w:rsidRDefault="004E4DA0" w:rsidP="004E4DA0">
      <w:r>
        <w:t xml:space="preserve">In words, </w:t>
      </w:r>
      <w:r w:rsidR="00817165">
        <w:t xml:space="preserve">it is </w:t>
      </w:r>
      <w:r>
        <w:t xml:space="preserve">the difference between the share of seats that </w:t>
      </w:r>
      <w:r w:rsidRPr="0066710B">
        <w:rPr>
          <w:i/>
          <w:iCs/>
        </w:rPr>
        <w:t>should</w:t>
      </w:r>
      <w:r>
        <w:t xml:space="preserve"> be won given a statewide vote share and the share of seats </w:t>
      </w:r>
      <w:proofErr w:type="gramStart"/>
      <w:r w:rsidRPr="00DC19C4">
        <w:rPr>
          <w:i/>
          <w:iCs/>
        </w:rPr>
        <w:t>actually</w:t>
      </w:r>
      <w:r>
        <w:t xml:space="preserve"> won</w:t>
      </w:r>
      <w:proofErr w:type="gramEnd"/>
      <w:r w:rsidR="00555A6F">
        <w:t xml:space="preserve"> given district vote shares</w:t>
      </w:r>
      <w:r>
        <w:t>.</w:t>
      </w:r>
      <w:r w:rsidR="00C32D02">
        <w:rPr>
          <w:rStyle w:val="FootnoteReference"/>
        </w:rPr>
        <w:footnoteReference w:id="28"/>
      </w:r>
      <w:r>
        <w:t xml:space="preserve"> </w:t>
      </w:r>
      <w:r w:rsidRPr="00894779">
        <w:t>The unit of measure is a difference of seat shares</w:t>
      </w:r>
      <w:r w:rsidR="00514FF0">
        <w:t xml:space="preserve"> (</w:t>
      </w:r>
      <m:oMath>
        <m:r>
          <m:rPr>
            <m:sty m:val="p"/>
          </m:rPr>
          <w:rPr>
            <w:rFonts w:ascii="Cambria Math" w:hAnsi="Cambria Math"/>
          </w:rPr>
          <m:t>∆</m:t>
        </m:r>
        <m:r>
          <w:rPr>
            <w:rFonts w:ascii="Cambria Math" w:hAnsi="Cambria Math"/>
          </w:rPr>
          <m:t>S</m:t>
        </m:r>
      </m:oMath>
      <w:r w:rsidR="00514FF0">
        <w:t>)</w:t>
      </w:r>
      <w:r w:rsidRPr="00894779">
        <w:t>.</w:t>
      </w:r>
      <w:r>
        <w:rPr>
          <w:rStyle w:val="FootnoteReference"/>
        </w:rPr>
        <w:footnoteReference w:id="29"/>
      </w:r>
      <w:r>
        <w:t xml:space="preserve"> Hence, m</w:t>
      </w:r>
      <w:r w:rsidRPr="00894779">
        <w:t>etrics that don’t compare the difference between actual (or likely) seat shares and some ideal measure some other aspect of a plan. That</w:t>
      </w:r>
      <w:r>
        <w:t xml:space="preserve"> other</w:t>
      </w:r>
      <w:r w:rsidRPr="00894779">
        <w:t xml:space="preserve"> quantity may be interesting, but those metrics don’t measure partisan advantage directly.</w:t>
      </w:r>
    </w:p>
    <w:p w14:paraId="1C129CD0" w14:textId="77777777" w:rsidR="004E4DA0" w:rsidRDefault="004E4DA0" w:rsidP="004E4DA0"/>
    <w:p w14:paraId="11169408" w14:textId="77777777" w:rsidR="004E4DA0" w:rsidRDefault="004E4DA0" w:rsidP="004E4DA0">
      <w:r>
        <w:lastRenderedPageBreak/>
        <w:t xml:space="preserve">You can use a composite of prior elections as a proxy for a not-yet-held election to infer a </w:t>
      </w:r>
      <w:proofErr w:type="gramStart"/>
      <w:r w:rsidRPr="00DC19C4">
        <w:rPr>
          <w:i/>
          <w:iCs/>
        </w:rPr>
        <w:t>likely</w:t>
      </w:r>
      <w:r>
        <w:t xml:space="preserve"> seats</w:t>
      </w:r>
      <w:proofErr w:type="gramEnd"/>
      <w:r>
        <w:t xml:space="preserve">–votes curve and use that to estimate </w:t>
      </w:r>
      <m:oMath>
        <m:acc>
          <m:accPr>
            <m:chr m:val="̅"/>
            <m:ctrlPr>
              <w:rPr>
                <w:rFonts w:ascii="Cambria Math" w:hAnsi="Cambria Math"/>
                <w:i/>
              </w:rPr>
            </m:ctrlPr>
          </m:accPr>
          <m:e>
            <m:r>
              <w:rPr>
                <w:rFonts w:ascii="Cambria Math" w:hAnsi="Cambria Math"/>
              </w:rPr>
              <m:t>V</m:t>
            </m:r>
          </m:e>
        </m:acc>
      </m:oMath>
      <w:r>
        <w:t xml:space="preserve">and </w:t>
      </w:r>
      <m:oMath>
        <m:acc>
          <m:accPr>
            <m:chr m:val="̅"/>
            <m:ctrlPr>
              <w:rPr>
                <w:rFonts w:ascii="Cambria Math" w:hAnsi="Cambria Math"/>
                <w:i/>
              </w:rPr>
            </m:ctrlPr>
          </m:accPr>
          <m:e>
            <m:r>
              <w:rPr>
                <w:rFonts w:ascii="Cambria Math" w:hAnsi="Cambria Math"/>
              </w:rPr>
              <m:t>S</m:t>
            </m:r>
          </m:e>
        </m:acc>
      </m:oMath>
      <w:r>
        <w:t>.</w:t>
      </w:r>
      <w:r>
        <w:rPr>
          <w:rStyle w:val="FootnoteReference"/>
        </w:rPr>
        <w:footnoteReference w:id="30"/>
      </w:r>
      <w:r>
        <w:t xml:space="preserve"> </w:t>
      </w:r>
    </w:p>
    <w:p w14:paraId="2A39C0CA" w14:textId="77777777" w:rsidR="004E4DA0" w:rsidRDefault="004E4DA0" w:rsidP="004E4DA0"/>
    <w:p w14:paraId="04A5BC9C" w14:textId="77777777" w:rsidR="004E4DA0" w:rsidRDefault="004E4DA0" w:rsidP="003253A1">
      <w:pPr>
        <w:pStyle w:val="Heading2"/>
      </w:pPr>
      <w:r>
        <w:t>2.2. Ideal Seats–Votes Relationships</w:t>
      </w:r>
    </w:p>
    <w:p w14:paraId="65415B20" w14:textId="77777777" w:rsidR="004E4DA0" w:rsidRDefault="004E4DA0" w:rsidP="003253A1">
      <w:pPr>
        <w:keepNext/>
      </w:pPr>
    </w:p>
    <w:p w14:paraId="1751CC25" w14:textId="56C0F35C" w:rsidR="004E4DA0" w:rsidRDefault="004E4DA0" w:rsidP="004E4DA0">
      <w:r>
        <w:t xml:space="preserve">The concept of </w:t>
      </w:r>
      <m:oMath>
        <m:r>
          <w:rPr>
            <w:rFonts w:ascii="Cambria Math" w:hAnsi="Cambria Math"/>
          </w:rPr>
          <m:t>PA|SV</m:t>
        </m:r>
      </m:oMath>
      <w:r>
        <w:t xml:space="preserve"> is agnostic to what you believe the ideal seats–votes relationship should be, and I won’t advocate a specific one here.</w:t>
      </w:r>
      <w:r>
        <w:rPr>
          <w:rStyle w:val="FootnoteReference"/>
        </w:rPr>
        <w:footnoteReference w:id="31"/>
      </w:r>
      <w:r>
        <w:t xml:space="preserve"> Nonetheless, to give you a sense of the breadth of possibilities, I’ll say a few words about some:</w:t>
      </w:r>
    </w:p>
    <w:p w14:paraId="38116209" w14:textId="77777777" w:rsidR="004E4DA0" w:rsidRDefault="004E4DA0" w:rsidP="004E4DA0"/>
    <w:p w14:paraId="0DEACEC3" w14:textId="77777777" w:rsidR="004E4DA0" w:rsidRDefault="004E4DA0" w:rsidP="004E4DA0">
      <w:pPr>
        <w:pStyle w:val="ListParagraph"/>
        <w:numPr>
          <w:ilvl w:val="0"/>
          <w:numId w:val="21"/>
        </w:numPr>
      </w:pPr>
      <w:r>
        <w:t xml:space="preserve">One is simple proportionality, the </w:t>
      </w:r>
      <m:oMath>
        <m:r>
          <w:rPr>
            <w:rFonts w:ascii="Cambria Math" w:hAnsi="Cambria Math"/>
          </w:rPr>
          <m:t>45°</m:t>
        </m:r>
      </m:oMath>
      <w:r>
        <w:t xml:space="preserve"> line on a graph of votes (x-axis) and seats (y-axis). On purely little ‘d’ democratic principles one might say that this the ideal seats–votes relationship: </w:t>
      </w:r>
    </w:p>
    <w:p w14:paraId="040ABA01" w14:textId="77777777" w:rsidR="004E4DA0" w:rsidRDefault="004E4DA0" w:rsidP="004E4DA0"/>
    <w:p w14:paraId="2A8E5D74" w14:textId="77777777" w:rsidR="004E4DA0" w:rsidRDefault="004E4DA0" w:rsidP="004E4DA0">
      <w:pPr>
        <w:pStyle w:val="Equation"/>
      </w:pPr>
      <w:r>
        <w:rPr>
          <w:iCs/>
        </w:rPr>
        <w:tab/>
      </w:r>
      <m:oMath>
        <m:r>
          <w:rPr>
            <w:rFonts w:ascii="Cambria Math" w:hAnsi="Cambria Math"/>
          </w:rPr>
          <m:t>S</m:t>
        </m:r>
        <m:r>
          <m:rPr>
            <m:sty m:val="p"/>
          </m:rPr>
          <w:rPr>
            <w:rFonts w:ascii="Cambria Math" w:hAnsi="Cambria Math"/>
          </w:rPr>
          <m:t>=</m:t>
        </m:r>
        <m:r>
          <w:rPr>
            <w:rFonts w:ascii="Cambria Math" w:hAnsi="Cambria Math"/>
          </w:rPr>
          <m:t>V</m:t>
        </m:r>
      </m:oMath>
      <w:r>
        <w:tab/>
        <w:t>(2)</w:t>
      </w:r>
    </w:p>
    <w:p w14:paraId="32A4019C" w14:textId="77777777" w:rsidR="004E4DA0" w:rsidRDefault="004E4DA0" w:rsidP="004E4DA0">
      <w:pPr>
        <w:pStyle w:val="ListParagraph"/>
      </w:pPr>
      <w:r>
        <w:t xml:space="preserve">Alternatively, in the most real-world terms – </w:t>
      </w:r>
      <w:r w:rsidRPr="00867DF7">
        <w:t>only “butts in seats” vote in legislatures</w:t>
      </w:r>
      <w:r>
        <w:t>! – any deviation from proportionality is an advantage for one party and disadvantage for the other.</w:t>
      </w:r>
      <w:r>
        <w:br/>
      </w:r>
    </w:p>
    <w:p w14:paraId="58DE88AD" w14:textId="4EC71F35" w:rsidR="004E4DA0" w:rsidRDefault="004E4DA0" w:rsidP="004E4DA0">
      <w:pPr>
        <w:pStyle w:val="ListParagraph"/>
        <w:numPr>
          <w:ilvl w:val="0"/>
          <w:numId w:val="21"/>
        </w:numPr>
      </w:pPr>
      <w:r>
        <w:t>Another is the two times winner’s bonus embedded in the formula for the efficiency gap (</w:t>
      </w:r>
      <m:oMath>
        <m:r>
          <w:rPr>
            <w:rFonts w:ascii="Cambria Math" w:hAnsi="Cambria Math"/>
          </w:rPr>
          <m:t>EG</m:t>
        </m:r>
      </m:oMath>
      <w:r>
        <w:t xml:space="preserve">). One can argue that this comports better with how single-member districts </w:t>
      </w:r>
      <w:proofErr w:type="gramStart"/>
      <w:r>
        <w:t>actually perform</w:t>
      </w:r>
      <w:proofErr w:type="gramEnd"/>
      <w:r>
        <w:t xml:space="preserve"> in practice.</w:t>
      </w:r>
      <w:r>
        <w:rPr>
          <w:rStyle w:val="FootnoteReference"/>
        </w:rPr>
        <w:footnoteReference w:id="32"/>
      </w:r>
      <w:r>
        <w:t xml:space="preserve"> The is the functional form of the</w:t>
      </w:r>
      <w:r w:rsidR="00FD0A3B">
        <w:t xml:space="preserve"> simplified</w:t>
      </w:r>
      <w:r>
        <w:t xml:space="preserve"> </w:t>
      </w:r>
      <m:oMath>
        <m:r>
          <w:rPr>
            <w:rFonts w:ascii="Cambria Math" w:hAnsi="Cambria Math"/>
          </w:rPr>
          <m:t>EG</m:t>
        </m:r>
      </m:oMath>
      <w:r>
        <w:t xml:space="preserve"> formula:</w:t>
      </w:r>
    </w:p>
    <w:p w14:paraId="6C2E27DE" w14:textId="77777777" w:rsidR="004E4DA0" w:rsidRDefault="004E4DA0" w:rsidP="004E4DA0">
      <w:pPr>
        <w:pStyle w:val="ListParagraph"/>
      </w:pPr>
    </w:p>
    <w:p w14:paraId="41BC5361" w14:textId="77777777" w:rsidR="004E4DA0" w:rsidRDefault="004E4DA0" w:rsidP="004E4DA0">
      <w:pPr>
        <w:pStyle w:val="Equation"/>
      </w:pPr>
      <w:r>
        <w:rPr>
          <w:iCs/>
        </w:rPr>
        <w:tab/>
      </w:r>
      <m:oMath>
        <m:r>
          <w:rPr>
            <w:rFonts w:ascii="Cambria Math" w:hAnsi="Cambria Math"/>
          </w:rPr>
          <m:t>S</m:t>
        </m:r>
        <m:r>
          <m:rPr>
            <m:sty m:val="p"/>
          </m:rPr>
          <w:rPr>
            <w:rFonts w:ascii="Cambria Math" w:hAnsi="Cambria Math"/>
          </w:rPr>
          <m:t>=</m:t>
        </m:r>
        <m:r>
          <w:rPr>
            <w:rFonts w:ascii="Cambria Math" w:hAnsi="Cambria Math"/>
          </w:rPr>
          <m:t>2V</m:t>
        </m:r>
        <m:r>
          <m:rPr>
            <m:sty m:val="p"/>
          </m:rPr>
          <w:rPr>
            <w:rFonts w:ascii="Cambria Math" w:hAnsi="Cambria Math"/>
          </w:rPr>
          <m:t>-0.5</m:t>
        </m:r>
      </m:oMath>
      <w:r>
        <w:tab/>
        <w:t>(2)</w:t>
      </w:r>
    </w:p>
    <w:p w14:paraId="70D78115" w14:textId="77777777" w:rsidR="004E4DA0" w:rsidRDefault="004E4DA0" w:rsidP="004E4DA0">
      <w:pPr>
        <w:ind w:left="720"/>
      </w:pPr>
      <w:r>
        <w:t xml:space="preserve">You will see these first two possibilities reflected in the metrics analyzed in Section 4. You can generalize them to any </w:t>
      </w:r>
      <w:r w:rsidRPr="007B286A">
        <w:t>k-prop</w:t>
      </w:r>
      <w:r>
        <w:t xml:space="preserve"> line such that</w:t>
      </w:r>
      <w:r w:rsidRPr="007B286A">
        <w:t xml:space="preserve"> </w:t>
      </w:r>
      <m:oMath>
        <m:r>
          <w:rPr>
            <w:rFonts w:ascii="Cambria Math" w:hAnsi="Cambria Math"/>
          </w:rPr>
          <m:t>S=kV</m:t>
        </m:r>
      </m:oMath>
      <w:r>
        <w:t xml:space="preserve">, where </w:t>
      </w:r>
      <m:oMath>
        <m:r>
          <w:rPr>
            <w:rFonts w:ascii="Cambria Math" w:hAnsi="Cambria Math"/>
          </w:rPr>
          <m:t>k</m:t>
        </m:r>
      </m:oMath>
      <w:r>
        <w:t xml:space="preserve"> is the constant responsiveness (</w:t>
      </w:r>
      <m:oMath>
        <m:r>
          <w:rPr>
            <w:rFonts w:ascii="Cambria Math" w:hAnsi="Cambria Math"/>
          </w:rPr>
          <m:t>r</m:t>
        </m:r>
      </m:oMath>
      <w:r>
        <w:t xml:space="preserve">). </w:t>
      </w:r>
      <w:r>
        <w:br/>
      </w:r>
    </w:p>
    <w:p w14:paraId="16800276" w14:textId="77777777" w:rsidR="004E4DA0" w:rsidRDefault="004E4DA0" w:rsidP="004E4DA0">
      <w:pPr>
        <w:pStyle w:val="ListParagraph"/>
        <w:numPr>
          <w:ilvl w:val="0"/>
          <w:numId w:val="21"/>
        </w:numPr>
      </w:pPr>
      <w:r w:rsidRPr="00224B2F">
        <w:t xml:space="preserve">You might </w:t>
      </w:r>
      <w:r>
        <w:t xml:space="preserve">instead </w:t>
      </w:r>
      <w:r w:rsidRPr="00224B2F">
        <w:t>think the</w:t>
      </w:r>
      <w:r>
        <w:t xml:space="preserve"> non-linear “cube law” is the</w:t>
      </w:r>
      <w:r w:rsidRPr="00224B2F">
        <w:t xml:space="preserve"> ideal seats–votes</w:t>
      </w:r>
      <w:r>
        <w:t>:</w:t>
      </w:r>
      <w:r>
        <w:rPr>
          <w:rStyle w:val="FootnoteReference"/>
        </w:rPr>
        <w:footnoteReference w:id="33"/>
      </w:r>
    </w:p>
    <w:p w14:paraId="47EB17D9" w14:textId="77777777" w:rsidR="004E4DA0" w:rsidRDefault="004E4DA0" w:rsidP="004E4DA0">
      <w:pPr>
        <w:pStyle w:val="Equation"/>
        <w:ind w:left="1440"/>
      </w:pPr>
      <w:r>
        <w:lastRenderedPageBreak/>
        <w:br/>
      </w:r>
      <m:oMath>
        <m:f>
          <m:fPr>
            <m:ctrlPr>
              <w:rPr>
                <w:rFonts w:ascii="Cambria Math" w:hAnsi="Cambria Math"/>
              </w:rPr>
            </m:ctrlPr>
          </m:fPr>
          <m:num>
            <m:r>
              <w:rPr>
                <w:rFonts w:ascii="Cambria Math" w:hAnsi="Cambria Math"/>
              </w:rPr>
              <m:t>S</m:t>
            </m:r>
          </m:num>
          <m:den>
            <m:r>
              <m:rPr>
                <m:sty m:val="p"/>
              </m:rPr>
              <w:rPr>
                <w:rFonts w:ascii="Cambria Math" w:hAnsi="Cambria Math"/>
              </w:rPr>
              <m:t>1-</m:t>
            </m:r>
            <m:r>
              <w:rPr>
                <w:rFonts w:ascii="Cambria Math" w:hAnsi="Cambria Math"/>
              </w:rPr>
              <m:t>S</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m:t>
            </m:r>
            <m:f>
              <m:fPr>
                <m:ctrlPr>
                  <w:rPr>
                    <w:rFonts w:ascii="Cambria Math" w:hAnsi="Cambria Math"/>
                  </w:rPr>
                </m:ctrlPr>
              </m:fPr>
              <m:num>
                <m:r>
                  <w:rPr>
                    <w:rFonts w:ascii="Cambria Math" w:hAnsi="Cambria Math"/>
                  </w:rPr>
                  <m:t>V</m:t>
                </m:r>
              </m:num>
              <m:den>
                <m:r>
                  <m:rPr>
                    <m:sty m:val="p"/>
                  </m:rPr>
                  <w:rPr>
                    <w:rFonts w:ascii="Cambria Math" w:hAnsi="Cambria Math"/>
                  </w:rPr>
                  <m:t>1-</m:t>
                </m:r>
                <m:r>
                  <w:rPr>
                    <w:rFonts w:ascii="Cambria Math" w:hAnsi="Cambria Math"/>
                  </w:rPr>
                  <m:t>V</m:t>
                </m:r>
              </m:den>
            </m:f>
            <m:r>
              <m:rPr>
                <m:sty m:val="p"/>
              </m:rPr>
              <w:rPr>
                <w:rFonts w:ascii="Cambria Math" w:hAnsi="Cambria Math"/>
              </w:rPr>
              <m:t>)</m:t>
            </m:r>
          </m:e>
          <m:sup>
            <m:r>
              <m:rPr>
                <m:sty m:val="p"/>
              </m:rPr>
              <w:rPr>
                <w:rFonts w:ascii="Cambria Math" w:hAnsi="Cambria Math"/>
              </w:rPr>
              <m:t>3</m:t>
            </m:r>
          </m:sup>
        </m:sSup>
      </m:oMath>
      <w:r w:rsidRPr="00224B2F">
        <w:tab/>
        <w:t>(3)</w:t>
      </w:r>
    </w:p>
    <w:p w14:paraId="20FEB567" w14:textId="77777777" w:rsidR="004E4DA0" w:rsidRDefault="004E4DA0" w:rsidP="004E4DA0">
      <w:pPr>
        <w:pStyle w:val="Equation"/>
        <w:spacing w:line="240" w:lineRule="auto"/>
        <w:ind w:left="720"/>
      </w:pPr>
      <w:r>
        <w:br/>
        <w:t>This reduces to:</w:t>
      </w:r>
    </w:p>
    <w:p w14:paraId="6681F487" w14:textId="77777777" w:rsidR="004E4DA0" w:rsidRDefault="004E4DA0" w:rsidP="004E4DA0">
      <w:pPr>
        <w:ind w:left="720"/>
      </w:pPr>
    </w:p>
    <w:p w14:paraId="228EBD28" w14:textId="77777777" w:rsidR="004E4DA0" w:rsidRDefault="004E4DA0" w:rsidP="004E4DA0">
      <w:pPr>
        <w:ind w:left="720"/>
      </w:pPr>
      <w:r>
        <w:tab/>
      </w:r>
      <m:oMath>
        <m:r>
          <w:rPr>
            <w:rFonts w:ascii="Cambria Math" w:hAnsi="Cambria Math"/>
          </w:rPr>
          <m:t>S=</m:t>
        </m:r>
        <m:sSup>
          <m:sSupPr>
            <m:ctrlPr>
              <w:rPr>
                <w:rFonts w:ascii="Cambria Math" w:hAnsi="Cambria Math"/>
                <w:i/>
                <w:iCs/>
              </w:rPr>
            </m:ctrlPr>
          </m:sSupPr>
          <m:e>
            <m:r>
              <w:rPr>
                <w:rFonts w:ascii="Cambria Math" w:hAnsi="Cambria Math"/>
              </w:rPr>
              <m:t>V</m:t>
            </m:r>
          </m:e>
          <m:sup>
            <m:r>
              <w:rPr>
                <w:rFonts w:ascii="Cambria Math" w:hAnsi="Cambria Math"/>
              </w:rPr>
              <m:t>3</m:t>
            </m:r>
          </m:sup>
        </m:sSup>
        <m:r>
          <w:rPr>
            <w:rFonts w:ascii="Cambria Math" w:hAnsi="Cambria Math"/>
          </w:rPr>
          <m:t>/(1-3V+3</m:t>
        </m:r>
        <m:sSup>
          <m:sSupPr>
            <m:ctrlPr>
              <w:rPr>
                <w:rFonts w:ascii="Cambria Math" w:hAnsi="Cambria Math"/>
                <w:i/>
                <w:iCs/>
              </w:rPr>
            </m:ctrlPr>
          </m:sSupPr>
          <m:e>
            <m:r>
              <w:rPr>
                <w:rFonts w:ascii="Cambria Math" w:hAnsi="Cambria Math"/>
              </w:rPr>
              <m:t>V</m:t>
            </m:r>
          </m:e>
          <m:sup>
            <m:r>
              <w:rPr>
                <w:rFonts w:ascii="Cambria Math" w:hAnsi="Cambria Math"/>
              </w:rPr>
              <m:t>2</m:t>
            </m:r>
          </m:sup>
        </m:sSup>
        <m:r>
          <w:rPr>
            <w:rFonts w:ascii="Cambria Math" w:hAnsi="Cambria Math"/>
          </w:rPr>
          <m:t>)</m:t>
        </m:r>
      </m:oMath>
      <w:r w:rsidRPr="00D3010F">
        <w:rPr>
          <w:iCs/>
        </w:rPr>
        <w:tab/>
        <w:t>(</w:t>
      </w:r>
      <w:r>
        <w:rPr>
          <w:iCs/>
        </w:rPr>
        <w:t>4</w:t>
      </w:r>
      <w:r w:rsidRPr="00D3010F">
        <w:rPr>
          <w:iCs/>
        </w:rPr>
        <w:t>)</w:t>
      </w:r>
    </w:p>
    <w:p w14:paraId="58FB6067" w14:textId="77777777" w:rsidR="004E4DA0" w:rsidRDefault="004E4DA0" w:rsidP="004E4DA0"/>
    <w:p w14:paraId="3EAE2416" w14:textId="0547AA23" w:rsidR="004E4DA0" w:rsidRDefault="00C87939" w:rsidP="004E4DA0">
      <w:pPr>
        <w:pStyle w:val="ListParagraph"/>
        <w:numPr>
          <w:ilvl w:val="0"/>
          <w:numId w:val="21"/>
        </w:numPr>
      </w:pPr>
      <w:r>
        <w:t>Y</w:t>
      </w:r>
      <w:r w:rsidR="004E4DA0">
        <w:t xml:space="preserve">ou might argue for a winner-takes-all scenario in which the party that gets most of the votes wins </w:t>
      </w:r>
      <w:r w:rsidR="004E4DA0" w:rsidRPr="00E039F1">
        <w:rPr>
          <w:i/>
          <w:iCs/>
        </w:rPr>
        <w:t>all</w:t>
      </w:r>
      <w:r w:rsidR="004E4DA0">
        <w:t xml:space="preserve"> the seats, i.e., </w:t>
      </w:r>
      <m:oMath>
        <m:r>
          <w:rPr>
            <w:rFonts w:ascii="Cambria Math" w:hAnsi="Cambria Math"/>
          </w:rPr>
          <m:t>S(V)=1</m:t>
        </m:r>
      </m:oMath>
      <w:r w:rsidR="004E4DA0">
        <w:t xml:space="preserve"> for any </w:t>
      </w:r>
      <m:oMath>
        <m:r>
          <w:rPr>
            <w:rFonts w:ascii="Cambria Math" w:hAnsi="Cambria Math"/>
          </w:rPr>
          <m:t>V&gt;0.5</m:t>
        </m:r>
      </m:oMath>
      <w:r w:rsidR="004E4DA0">
        <w:t>.</w:t>
      </w:r>
    </w:p>
    <w:p w14:paraId="2D11BAE6" w14:textId="77777777" w:rsidR="00C87939" w:rsidRDefault="00C87939" w:rsidP="00C87939"/>
    <w:p w14:paraId="492CCE1B" w14:textId="0E29ED79" w:rsidR="00C87939" w:rsidRDefault="00C87939" w:rsidP="004E4DA0">
      <w:pPr>
        <w:pStyle w:val="ListParagraph"/>
        <w:numPr>
          <w:ilvl w:val="0"/>
          <w:numId w:val="21"/>
        </w:numPr>
      </w:pPr>
      <w:r>
        <w:t xml:space="preserve">Or you might advocate that how votes should translate into seats should </w:t>
      </w:r>
      <w:proofErr w:type="gramStart"/>
      <w:r>
        <w:t>take into account</w:t>
      </w:r>
      <w:proofErr w:type="gramEnd"/>
      <w:r>
        <w:t xml:space="preserve"> the underlying political geography </w:t>
      </w:r>
      <w:r w:rsidR="00ED4F5E">
        <w:t xml:space="preserve">of </w:t>
      </w:r>
      <w:r>
        <w:t>and jurisdictional boundaries</w:t>
      </w:r>
      <w:r w:rsidR="00ED4F5E">
        <w:t xml:space="preserve"> within a state</w:t>
      </w:r>
      <w:r>
        <w:t>.</w:t>
      </w:r>
      <w:r w:rsidR="008E6C1B">
        <w:rPr>
          <w:rStyle w:val="FootnoteReference"/>
        </w:rPr>
        <w:footnoteReference w:id="34"/>
      </w:r>
    </w:p>
    <w:p w14:paraId="39AB4393" w14:textId="77777777" w:rsidR="004E4DA0" w:rsidRDefault="004E4DA0" w:rsidP="004E4DA0"/>
    <w:p w14:paraId="7A4C213C" w14:textId="0719756A" w:rsidR="004E4DA0" w:rsidRDefault="004E4DA0" w:rsidP="004E4DA0">
      <w:r>
        <w:t xml:space="preserve">In short, there are many possible ideal seats–votes relationships. </w:t>
      </w:r>
    </w:p>
    <w:p w14:paraId="55A3FBE6" w14:textId="77777777" w:rsidR="004E4DA0" w:rsidRDefault="004E4DA0" w:rsidP="004E4DA0"/>
    <w:p w14:paraId="0F037F33" w14:textId="77777777" w:rsidR="004E4DA0" w:rsidRDefault="004E4DA0" w:rsidP="004E4DA0">
      <w:pPr>
        <w:pStyle w:val="Heading2"/>
      </w:pPr>
      <w:r>
        <w:t>2.3. Super-proportionality</w:t>
      </w:r>
    </w:p>
    <w:p w14:paraId="1433766F" w14:textId="77777777" w:rsidR="004E4DA0" w:rsidRDefault="004E4DA0" w:rsidP="004E4DA0"/>
    <w:p w14:paraId="15534EED" w14:textId="78898CD4" w:rsidR="004E4DA0" w:rsidRPr="006746EE" w:rsidRDefault="004E4DA0" w:rsidP="004E4DA0">
      <w:r>
        <w:t xml:space="preserve">To complete </w:t>
      </w:r>
      <w:r w:rsidR="00D7213C">
        <w:t>my</w:t>
      </w:r>
      <w:r>
        <w:t xml:space="preserve"> definition of </w:t>
      </w:r>
      <m:oMath>
        <m:r>
          <w:rPr>
            <w:rFonts w:ascii="Cambria Math" w:hAnsi="Cambria Math"/>
          </w:rPr>
          <m:t>PA|SV</m:t>
        </m:r>
      </m:oMath>
      <w:r w:rsidR="00D7213C">
        <w:t xml:space="preserve">, </w:t>
      </w:r>
      <w:r>
        <w:t>I add one minimal constraint:</w:t>
      </w:r>
    </w:p>
    <w:p w14:paraId="3807A254" w14:textId="77777777" w:rsidR="004E4DA0" w:rsidRDefault="004E4DA0" w:rsidP="004E4DA0"/>
    <w:p w14:paraId="17EB4E41" w14:textId="77777777" w:rsidR="004E4DA0" w:rsidRDefault="004E4DA0" w:rsidP="004E4DA0">
      <w:pPr>
        <w:pStyle w:val="ListParagraph"/>
        <w:numPr>
          <w:ilvl w:val="0"/>
          <w:numId w:val="18"/>
        </w:numPr>
      </w:pPr>
      <w:r>
        <w:t>Super-proportional outcomes can’t favor the minority party.</w:t>
      </w:r>
    </w:p>
    <w:p w14:paraId="3925D002" w14:textId="77777777" w:rsidR="004E4DA0" w:rsidRDefault="004E4DA0" w:rsidP="004E4DA0"/>
    <w:p w14:paraId="7AA99FA2" w14:textId="0EB52895" w:rsidR="004E4DA0" w:rsidRDefault="004E4DA0" w:rsidP="00D7213C">
      <w:r>
        <w:t xml:space="preserve">In graphical terms shown in Fig. 1, what this means is that a valid measure of </w:t>
      </w:r>
      <m:oMath>
        <m:r>
          <w:rPr>
            <w:rFonts w:ascii="Cambria Math" w:hAnsi="Cambria Math"/>
          </w:rPr>
          <m:t>PA|SV</m:t>
        </m:r>
      </m:oMath>
      <w:r>
        <w:t xml:space="preserve"> can’t classify points D1 or D2 as favoring Republicans or points R1 or R2 as favoring Democrats.</w:t>
      </w:r>
    </w:p>
    <w:p w14:paraId="05CC218F" w14:textId="0330246C" w:rsidR="00D7213C" w:rsidRDefault="00D7213C" w:rsidP="00D7213C"/>
    <w:p w14:paraId="276700B7" w14:textId="77777777" w:rsidR="00D7213C" w:rsidRDefault="00D7213C" w:rsidP="00D7213C">
      <w:r>
        <w:t>In algebraic terms:</w:t>
      </w:r>
    </w:p>
    <w:p w14:paraId="359322F4" w14:textId="77777777" w:rsidR="00D7213C" w:rsidRDefault="00D7213C" w:rsidP="00D7213C"/>
    <w:p w14:paraId="68B0C680" w14:textId="5C69CF4D" w:rsidR="00D7213C" w:rsidRDefault="00D7213C" w:rsidP="00D7213C">
      <w:pPr>
        <w:pStyle w:val="ListParagraph"/>
        <w:numPr>
          <w:ilvl w:val="0"/>
          <w:numId w:val="19"/>
        </w:numPr>
        <w:ind w:left="720"/>
      </w:pPr>
      <w:r>
        <w:t xml:space="preserve">If </w:t>
      </w:r>
      <m:oMath>
        <m:acc>
          <m:accPr>
            <m:chr m:val="̅"/>
            <m:ctrlPr>
              <w:rPr>
                <w:rFonts w:ascii="Cambria Math" w:hAnsi="Cambria Math"/>
                <w:i/>
              </w:rPr>
            </m:ctrlPr>
          </m:accPr>
          <m:e>
            <m:r>
              <w:rPr>
                <w:rFonts w:ascii="Cambria Math" w:hAnsi="Cambria Math"/>
              </w:rPr>
              <m:t>V</m:t>
            </m:r>
          </m:e>
        </m:acc>
        <m:r>
          <w:rPr>
            <w:rFonts w:ascii="Cambria Math" w:hAnsi="Cambria Math"/>
          </w:rPr>
          <m:t>&gt;0.5</m:t>
        </m:r>
      </m:oMath>
      <w:r>
        <w:t xml:space="preserve"> and </w:t>
      </w:r>
      <m:oMath>
        <m:acc>
          <m:accPr>
            <m:chr m:val="̅"/>
            <m:ctrlPr>
              <w:rPr>
                <w:rFonts w:ascii="Cambria Math" w:hAnsi="Cambria Math"/>
                <w:i/>
              </w:rPr>
            </m:ctrlPr>
          </m:accPr>
          <m:e>
            <m:r>
              <w:rPr>
                <w:rFonts w:ascii="Cambria Math" w:hAnsi="Cambria Math"/>
              </w:rPr>
              <m:t>S</m:t>
            </m:r>
          </m:e>
        </m:acc>
        <m:r>
          <w:rPr>
            <w:rFonts w:ascii="Cambria Math" w:hAnsi="Cambria Math"/>
          </w:rPr>
          <m:t>&gt;</m:t>
        </m:r>
        <m:acc>
          <m:accPr>
            <m:chr m:val="̅"/>
            <m:ctrlPr>
              <w:rPr>
                <w:rFonts w:ascii="Cambria Math" w:hAnsi="Cambria Math"/>
                <w:i/>
              </w:rPr>
            </m:ctrlPr>
          </m:accPr>
          <m:e>
            <m:r>
              <w:rPr>
                <w:rFonts w:ascii="Cambria Math" w:hAnsi="Cambria Math"/>
              </w:rPr>
              <m:t>V</m:t>
            </m:r>
          </m:e>
        </m:acc>
      </m:oMath>
      <w:r>
        <w:t xml:space="preserve">, a valid measure of </w:t>
      </w:r>
      <m:oMath>
        <m:r>
          <w:rPr>
            <w:rFonts w:ascii="Cambria Math" w:hAnsi="Cambria Math"/>
          </w:rPr>
          <m:t>PA|SV</m:t>
        </m:r>
      </m:oMath>
      <w:r>
        <w:t xml:space="preserve"> will not indicate that the plan favors Republicans.</w:t>
      </w:r>
      <w:r>
        <w:rPr>
          <w:rStyle w:val="FootnoteReference"/>
        </w:rPr>
        <w:footnoteReference w:id="35"/>
      </w:r>
    </w:p>
    <w:p w14:paraId="60BC10DD" w14:textId="2F9AC1DA" w:rsidR="00D7213C" w:rsidRDefault="00D7213C" w:rsidP="00D7213C">
      <w:pPr>
        <w:pStyle w:val="ListParagraph"/>
        <w:numPr>
          <w:ilvl w:val="0"/>
          <w:numId w:val="19"/>
        </w:numPr>
        <w:ind w:left="720"/>
      </w:pPr>
      <w:r>
        <w:t xml:space="preserve">Similarly, if </w:t>
      </w:r>
      <m:oMath>
        <m:r>
          <w:rPr>
            <w:rFonts w:ascii="Cambria Math" w:hAnsi="Cambria Math"/>
          </w:rPr>
          <m:t>1-</m:t>
        </m:r>
        <m:acc>
          <m:accPr>
            <m:chr m:val="̅"/>
            <m:ctrlPr>
              <w:rPr>
                <w:rFonts w:ascii="Cambria Math" w:hAnsi="Cambria Math"/>
                <w:i/>
              </w:rPr>
            </m:ctrlPr>
          </m:accPr>
          <m:e>
            <m:r>
              <w:rPr>
                <w:rFonts w:ascii="Cambria Math" w:hAnsi="Cambria Math"/>
              </w:rPr>
              <m:t>V</m:t>
            </m:r>
          </m:e>
        </m:acc>
        <m:r>
          <w:rPr>
            <w:rFonts w:ascii="Cambria Math" w:hAnsi="Cambria Math"/>
          </w:rPr>
          <m:t>&gt;0.5</m:t>
        </m:r>
      </m:oMath>
      <w:r>
        <w:t xml:space="preserve"> and </w:t>
      </w:r>
      <m:oMath>
        <m:r>
          <w:rPr>
            <w:rFonts w:ascii="Cambria Math" w:hAnsi="Cambria Math"/>
          </w:rPr>
          <m:t>1-</m:t>
        </m:r>
        <m:acc>
          <m:accPr>
            <m:chr m:val="̅"/>
            <m:ctrlPr>
              <w:rPr>
                <w:rFonts w:ascii="Cambria Math" w:hAnsi="Cambria Math"/>
                <w:i/>
              </w:rPr>
            </m:ctrlPr>
          </m:accPr>
          <m:e>
            <m:r>
              <w:rPr>
                <w:rFonts w:ascii="Cambria Math" w:hAnsi="Cambria Math"/>
              </w:rPr>
              <m:t>S</m:t>
            </m:r>
          </m:e>
        </m:acc>
        <m:r>
          <w:rPr>
            <w:rFonts w:ascii="Cambria Math" w:hAnsi="Cambria Math"/>
          </w:rPr>
          <m:t>&gt;1-</m:t>
        </m:r>
        <m:acc>
          <m:accPr>
            <m:chr m:val="̅"/>
            <m:ctrlPr>
              <w:rPr>
                <w:rFonts w:ascii="Cambria Math" w:hAnsi="Cambria Math"/>
                <w:i/>
              </w:rPr>
            </m:ctrlPr>
          </m:accPr>
          <m:e>
            <m:r>
              <w:rPr>
                <w:rFonts w:ascii="Cambria Math" w:hAnsi="Cambria Math"/>
              </w:rPr>
              <m:t>V</m:t>
            </m:r>
          </m:e>
        </m:acc>
      </m:oMath>
      <w:r>
        <w:t xml:space="preserve">, a valid measure of </w:t>
      </w:r>
      <m:oMath>
        <m:r>
          <w:rPr>
            <w:rFonts w:ascii="Cambria Math" w:hAnsi="Cambria Math"/>
          </w:rPr>
          <m:t>PA|SV</m:t>
        </m:r>
      </m:oMath>
      <w:r w:rsidR="00C93995">
        <w:t xml:space="preserve"> </w:t>
      </w:r>
      <w:r>
        <w:t>will not indicate that the plan favors Democrats.</w:t>
      </w:r>
      <w:r>
        <w:br/>
      </w:r>
    </w:p>
    <w:p w14:paraId="29DFCB7F" w14:textId="22E37D90" w:rsidR="00D7213C" w:rsidRDefault="00D7213C" w:rsidP="00D7213C">
      <w:r>
        <w:t xml:space="preserve">Plans where a party gets more than half the seats when they receive more than half the votes may or may not be considered biased in favor of that party </w:t>
      </w:r>
      <w:r w:rsidRPr="001B214A">
        <w:rPr>
          <w:i/>
          <w:iCs/>
        </w:rPr>
        <w:t xml:space="preserve">depending on which ideal </w:t>
      </w:r>
      <m:oMath>
        <m:r>
          <w:rPr>
            <w:rFonts w:ascii="Cambria Math" w:hAnsi="Cambria Math"/>
          </w:rPr>
          <m:t>S(V)</m:t>
        </m:r>
      </m:oMath>
      <w:r w:rsidRPr="001B214A">
        <w:rPr>
          <w:i/>
          <w:iCs/>
        </w:rPr>
        <w:t xml:space="preserve"> </w:t>
      </w:r>
      <w:r w:rsidR="00C27568">
        <w:rPr>
          <w:i/>
          <w:iCs/>
        </w:rPr>
        <w:t>relationship</w:t>
      </w:r>
      <w:r w:rsidRPr="001B214A">
        <w:rPr>
          <w:i/>
          <w:iCs/>
        </w:rPr>
        <w:t xml:space="preserve"> you choose.</w:t>
      </w:r>
      <w:r>
        <w:t xml:space="preserve"> More on this below.</w:t>
      </w:r>
    </w:p>
    <w:p w14:paraId="68F202EC" w14:textId="77777777" w:rsidR="00D7213C" w:rsidRDefault="00D7213C" w:rsidP="00D7213C"/>
    <w:p w14:paraId="585E11EC" w14:textId="77777777" w:rsidR="004E4DA0" w:rsidRDefault="004E4DA0" w:rsidP="004E4DA0">
      <w:pPr>
        <w:jc w:val="center"/>
      </w:pPr>
      <w:r w:rsidRPr="00253862">
        <w:rPr>
          <w:noProof/>
        </w:rPr>
        <w:lastRenderedPageBreak/>
        <w:drawing>
          <wp:inline distT="0" distB="0" distL="0" distR="0" wp14:anchorId="5B5DD6DA" wp14:editId="3A085624">
            <wp:extent cx="3479800" cy="3327400"/>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0"/>
                    <a:stretch>
                      <a:fillRect/>
                    </a:stretch>
                  </pic:blipFill>
                  <pic:spPr>
                    <a:xfrm>
                      <a:off x="0" y="0"/>
                      <a:ext cx="3479800" cy="3327400"/>
                    </a:xfrm>
                    <a:prstGeom prst="rect">
                      <a:avLst/>
                    </a:prstGeom>
                  </pic:spPr>
                </pic:pic>
              </a:graphicData>
            </a:graphic>
          </wp:inline>
        </w:drawing>
      </w:r>
    </w:p>
    <w:p w14:paraId="2BE25F2E" w14:textId="77777777" w:rsidR="004E4DA0" w:rsidRPr="00A77BE1" w:rsidRDefault="004E4DA0" w:rsidP="004E4DA0">
      <w:pPr>
        <w:jc w:val="center"/>
        <w:rPr>
          <w:sz w:val="20"/>
          <w:szCs w:val="20"/>
        </w:rPr>
      </w:pPr>
      <w:r>
        <w:rPr>
          <w:sz w:val="20"/>
          <w:szCs w:val="20"/>
        </w:rPr>
        <w:t>Fig. 1. S(V) space with 2-proportionality ideal (dashed line)</w:t>
      </w:r>
    </w:p>
    <w:p w14:paraId="76E991E3" w14:textId="77777777" w:rsidR="004E4DA0" w:rsidRDefault="004E4DA0" w:rsidP="004E4DA0"/>
    <w:p w14:paraId="798EBBA1" w14:textId="04C5CDB3" w:rsidR="004E4DA0" w:rsidRDefault="004E4DA0" w:rsidP="004E4DA0">
      <w:r>
        <w:t xml:space="preserve">Points D1 &amp; D2 and R1 &amp; R2 are super-proportional outcomes, D3 and R3 are sub-proportional outcomes, and D4 and R4 are anti-majoritarian outcomes. </w:t>
      </w:r>
    </w:p>
    <w:p w14:paraId="33710A98" w14:textId="12B03666" w:rsidR="00F17A1A" w:rsidRDefault="00F17A1A" w:rsidP="004E4DA0"/>
    <w:p w14:paraId="0D239DFB" w14:textId="63591D11" w:rsidR="00F17A1A" w:rsidRDefault="00F17A1A" w:rsidP="004E4DA0">
      <w:r>
        <w:t>Not</w:t>
      </w:r>
      <w:r w:rsidR="001B6CA5">
        <w:t>e that not</w:t>
      </w:r>
      <w:r>
        <w:t xml:space="preserve"> </w:t>
      </w:r>
      <w:proofErr w:type="gramStart"/>
      <w:r>
        <w:t>all of</w:t>
      </w:r>
      <w:proofErr w:type="gramEnd"/>
      <w:r>
        <w:t xml:space="preserve"> the seats–votes relationships enumerated in Section 2.2 satisfy this constraint.</w:t>
      </w:r>
    </w:p>
    <w:p w14:paraId="73C10D97" w14:textId="77777777" w:rsidR="004E4DA0" w:rsidRDefault="004E4DA0" w:rsidP="004E4DA0"/>
    <w:p w14:paraId="50334EAB" w14:textId="7D3D4AF4" w:rsidR="004E4DA0" w:rsidRDefault="004E4DA0" w:rsidP="004E4DA0">
      <w:r>
        <w:t xml:space="preserve">With </w:t>
      </w:r>
      <m:oMath>
        <m:r>
          <w:rPr>
            <w:rFonts w:ascii="Cambria Math" w:hAnsi="Cambria Math"/>
          </w:rPr>
          <m:t>PA|SV</m:t>
        </m:r>
      </m:oMath>
      <w:r w:rsidR="002A39DA">
        <w:t xml:space="preserve"> </w:t>
      </w:r>
      <w:r>
        <w:t>defined, we can sort through the various metrics.</w:t>
      </w:r>
    </w:p>
    <w:p w14:paraId="65F7F950" w14:textId="1089B7BC" w:rsidR="004E4DA0" w:rsidRDefault="004E4DA0" w:rsidP="0001675E"/>
    <w:p w14:paraId="3A117E58" w14:textId="77777777" w:rsidR="00F64363" w:rsidRDefault="00F64363" w:rsidP="00397CC3">
      <w:pPr>
        <w:keepNext/>
        <w:rPr>
          <w:rStyle w:val="Heading1Char"/>
        </w:rPr>
      </w:pPr>
      <w:r>
        <w:rPr>
          <w:rStyle w:val="Heading1Char"/>
        </w:rPr>
        <w:t>3. Sample Plans</w:t>
      </w:r>
    </w:p>
    <w:p w14:paraId="4C28D8CC" w14:textId="77777777" w:rsidR="00F64363" w:rsidRDefault="00F64363" w:rsidP="00397CC3">
      <w:pPr>
        <w:keepNext/>
      </w:pPr>
    </w:p>
    <w:p w14:paraId="5611FA5A" w14:textId="77777777" w:rsidR="00F64363" w:rsidRPr="00614413" w:rsidRDefault="00F64363" w:rsidP="00F64363">
      <w:r>
        <w:t>This section presents three groups of partisan “profiles” that I will use to test the ten metrics enumerated above.</w:t>
      </w:r>
      <w:r>
        <w:rPr>
          <w:rStyle w:val="FootnoteReference"/>
        </w:rPr>
        <w:footnoteReference w:id="36"/>
      </w:r>
      <w:r>
        <w:t xml:space="preserve"> The 34 plans in them represent a broad cross section of partisan characteristics and, thus, provide a good test suite for these metrics. </w:t>
      </w:r>
    </w:p>
    <w:p w14:paraId="0ABE2C49" w14:textId="77777777" w:rsidR="00F64363" w:rsidRDefault="00F64363" w:rsidP="00F64363"/>
    <w:p w14:paraId="3CB59AFA" w14:textId="77777777" w:rsidR="00F64363" w:rsidRPr="00E20571" w:rsidRDefault="00F64363" w:rsidP="00F64363">
      <w:pPr>
        <w:pStyle w:val="Heading2"/>
      </w:pPr>
      <w:r>
        <w:t>3.1. Select 2012 Congressional Plans</w:t>
      </w:r>
    </w:p>
    <w:p w14:paraId="1E0733FA" w14:textId="77777777" w:rsidR="00F64363" w:rsidRDefault="00F64363" w:rsidP="00F64363"/>
    <w:p w14:paraId="1561B86B" w14:textId="77777777" w:rsidR="00F64363" w:rsidRDefault="00F64363" w:rsidP="00F64363">
      <w:r>
        <w:t>The first set of maps are the congressional plans studied in (Nagle and Ramsay, 2021). In terms of their typical statewide two-party vote shares, four lean heavily Democratic</w:t>
      </w:r>
      <w:r w:rsidRPr="001857E5">
        <w:t xml:space="preserve"> (</w:t>
      </w:r>
      <w:r>
        <w:t>California</w:t>
      </w:r>
      <w:r w:rsidRPr="001857E5">
        <w:t xml:space="preserve">, </w:t>
      </w:r>
      <w:r>
        <w:t>Illinois</w:t>
      </w:r>
      <w:r w:rsidRPr="001857E5">
        <w:t xml:space="preserve">, </w:t>
      </w:r>
      <w:r>
        <w:t>Massachusetts</w:t>
      </w:r>
      <w:r w:rsidRPr="001857E5">
        <w:t xml:space="preserve">, and </w:t>
      </w:r>
      <w:r>
        <w:t>Maryland</w:t>
      </w:r>
      <w:r w:rsidRPr="001857E5">
        <w:t xml:space="preserve">), three </w:t>
      </w:r>
      <w:r>
        <w:t>lean heavily</w:t>
      </w:r>
      <w:r w:rsidRPr="001857E5">
        <w:t xml:space="preserve"> Republican (</w:t>
      </w:r>
      <w:r>
        <w:t>South Carolina</w:t>
      </w:r>
      <w:r w:rsidRPr="001857E5">
        <w:t xml:space="preserve">, </w:t>
      </w:r>
      <w:r>
        <w:t>Tennessee</w:t>
      </w:r>
      <w:r w:rsidRPr="001857E5">
        <w:t xml:space="preserve">, and </w:t>
      </w:r>
      <w:r>
        <w:t>Texas</w:t>
      </w:r>
      <w:r w:rsidRPr="001857E5">
        <w:t>)</w:t>
      </w:r>
      <w:r>
        <w:t>,</w:t>
      </w:r>
      <w:r w:rsidRPr="001857E5">
        <w:t xml:space="preserve"> and </w:t>
      </w:r>
      <w:r>
        <w:t>four are</w:t>
      </w:r>
      <w:r w:rsidRPr="001857E5">
        <w:t xml:space="preserve"> nearly balanced </w:t>
      </w:r>
      <w:r>
        <w:t>politically</w:t>
      </w:r>
      <w:r w:rsidRPr="001857E5">
        <w:t xml:space="preserve"> (</w:t>
      </w:r>
      <w:r>
        <w:t>Colorado</w:t>
      </w:r>
      <w:r w:rsidRPr="001857E5">
        <w:t xml:space="preserve">, </w:t>
      </w:r>
      <w:r>
        <w:t>North Carolina</w:t>
      </w:r>
      <w:r w:rsidRPr="001857E5">
        <w:t xml:space="preserve">, </w:t>
      </w:r>
      <w:r>
        <w:t>Ohio</w:t>
      </w:r>
      <w:r w:rsidRPr="001857E5">
        <w:t xml:space="preserve">, and </w:t>
      </w:r>
      <w:r>
        <w:t>Pennsylvania</w:t>
      </w:r>
      <w:r w:rsidRPr="001857E5">
        <w:t xml:space="preserve">). </w:t>
      </w:r>
    </w:p>
    <w:p w14:paraId="60EC95FE" w14:textId="77777777" w:rsidR="00F64363" w:rsidRDefault="00F64363" w:rsidP="00F64363"/>
    <w:p w14:paraId="6F432928" w14:textId="77777777" w:rsidR="00F64363" w:rsidRDefault="00F64363" w:rsidP="00F64363">
      <w:r w:rsidRPr="00487C54">
        <w:t xml:space="preserve">The plans were drawn in 2011 </w:t>
      </w:r>
      <w:r>
        <w:t>and the profiles use</w:t>
      </w:r>
      <w:r w:rsidRPr="00487C54">
        <w:t xml:space="preserve"> a composite of 2012 election results.</w:t>
      </w:r>
      <w:r>
        <w:rPr>
          <w:rStyle w:val="FootnoteReference"/>
        </w:rPr>
        <w:footnoteReference w:id="37"/>
      </w:r>
      <w:r>
        <w:t xml:space="preserve"> The partisan profiles for these plans may be found in the Supplemental Material.</w:t>
      </w:r>
      <w:r>
        <w:rPr>
          <w:rStyle w:val="FootnoteReference"/>
        </w:rPr>
        <w:footnoteReference w:id="38"/>
      </w:r>
    </w:p>
    <w:p w14:paraId="7E8ED558" w14:textId="77777777" w:rsidR="00F64363" w:rsidRDefault="00F64363" w:rsidP="00F64363"/>
    <w:p w14:paraId="489B8DE0" w14:textId="77777777" w:rsidR="00F64363" w:rsidRDefault="00F64363" w:rsidP="00F64363">
      <w:pPr>
        <w:jc w:val="center"/>
      </w:pPr>
      <w:r w:rsidRPr="00E20571">
        <w:rPr>
          <w:noProof/>
        </w:rPr>
        <w:drawing>
          <wp:inline distT="0" distB="0" distL="0" distR="0" wp14:anchorId="4538D906" wp14:editId="30EA856F">
            <wp:extent cx="4251960" cy="1664208"/>
            <wp:effectExtent l="0" t="0" r="254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1"/>
                    <a:stretch>
                      <a:fillRect/>
                    </a:stretch>
                  </pic:blipFill>
                  <pic:spPr>
                    <a:xfrm>
                      <a:off x="0" y="0"/>
                      <a:ext cx="4251960" cy="1664208"/>
                    </a:xfrm>
                    <a:prstGeom prst="rect">
                      <a:avLst/>
                    </a:prstGeom>
                  </pic:spPr>
                </pic:pic>
              </a:graphicData>
            </a:graphic>
          </wp:inline>
        </w:drawing>
      </w:r>
    </w:p>
    <w:p w14:paraId="129E9C6D" w14:textId="77777777" w:rsidR="00F64363" w:rsidRPr="00171B8C" w:rsidRDefault="00F64363" w:rsidP="00F64363">
      <w:pPr>
        <w:jc w:val="center"/>
        <w:rPr>
          <w:sz w:val="20"/>
          <w:szCs w:val="20"/>
        </w:rPr>
      </w:pPr>
      <w:r w:rsidRPr="00171B8C">
        <w:rPr>
          <w:sz w:val="20"/>
          <w:szCs w:val="20"/>
        </w:rPr>
        <w:t>Table 1</w:t>
      </w:r>
      <w:r>
        <w:rPr>
          <w:sz w:val="20"/>
          <w:szCs w:val="20"/>
        </w:rPr>
        <w:t xml:space="preserve"> – Metrics for Select 2012 Congressional Plans</w:t>
      </w:r>
    </w:p>
    <w:p w14:paraId="69E3B11A" w14:textId="77777777" w:rsidR="00F64363" w:rsidRDefault="00F64363" w:rsidP="00F64363"/>
    <w:p w14:paraId="5F0E126D" w14:textId="77777777" w:rsidR="00F64363" w:rsidRDefault="00F64363" w:rsidP="00F64363">
      <w:r>
        <w:t>The measurements in Table 1 are grouped into five sets of columns:</w:t>
      </w:r>
    </w:p>
    <w:p w14:paraId="39E5D396" w14:textId="77777777" w:rsidR="00F64363" w:rsidRDefault="00F64363" w:rsidP="00F64363"/>
    <w:p w14:paraId="40F3023A" w14:textId="77777777" w:rsidR="00F64363" w:rsidRDefault="00F64363" w:rsidP="00F64363">
      <w:pPr>
        <w:pStyle w:val="ListParagraph"/>
        <w:numPr>
          <w:ilvl w:val="0"/>
          <w:numId w:val="22"/>
        </w:numPr>
      </w:pPr>
      <w:r>
        <w:t>The 1st set shows the state, the statewide vote share (</w:t>
      </w:r>
      <m:oMath>
        <m:acc>
          <m:accPr>
            <m:chr m:val="̅"/>
            <m:ctrlPr>
              <w:rPr>
                <w:rFonts w:ascii="Cambria Math" w:hAnsi="Cambria Math"/>
                <w:i/>
              </w:rPr>
            </m:ctrlPr>
          </m:accPr>
          <m:e>
            <m:r>
              <w:rPr>
                <w:rFonts w:ascii="Cambria Math" w:hAnsi="Cambria Math"/>
              </w:rPr>
              <m:t>V</m:t>
            </m:r>
          </m:e>
        </m:acc>
      </m:oMath>
      <w:r>
        <w:t>), and the corresponding likely seat share (</w:t>
      </w:r>
      <m:oMath>
        <m:r>
          <w:rPr>
            <w:rFonts w:ascii="Cambria Math" w:hAnsi="Cambria Math"/>
          </w:rPr>
          <m:t>S(</m:t>
        </m:r>
        <m:acc>
          <m:accPr>
            <m:chr m:val="̅"/>
            <m:ctrlPr>
              <w:rPr>
                <w:rFonts w:ascii="Cambria Math" w:hAnsi="Cambria Math"/>
                <w:i/>
              </w:rPr>
            </m:ctrlPr>
          </m:accPr>
          <m:e>
            <m:r>
              <w:rPr>
                <w:rFonts w:ascii="Cambria Math" w:hAnsi="Cambria Math"/>
              </w:rPr>
              <m:t>V</m:t>
            </m:r>
          </m:e>
        </m:acc>
        <m:r>
          <w:rPr>
            <w:rFonts w:ascii="Cambria Math" w:hAnsi="Cambria Math"/>
          </w:rPr>
          <m:t>)</m:t>
        </m:r>
      </m:oMath>
      <w:r>
        <w:t xml:space="preserve"> or simply </w:t>
      </w:r>
      <m:oMath>
        <m:acc>
          <m:accPr>
            <m:chr m:val="̅"/>
            <m:ctrlPr>
              <w:rPr>
                <w:rFonts w:ascii="Cambria Math" w:hAnsi="Cambria Math"/>
                <w:i/>
              </w:rPr>
            </m:ctrlPr>
          </m:accPr>
          <m:e>
            <m:r>
              <w:rPr>
                <w:rFonts w:ascii="Cambria Math" w:hAnsi="Cambria Math"/>
              </w:rPr>
              <m:t>S</m:t>
            </m:r>
          </m:e>
        </m:acc>
      </m:oMath>
      <w:r>
        <w:t xml:space="preserve">). </w:t>
      </w:r>
    </w:p>
    <w:p w14:paraId="45A931A7" w14:textId="77777777" w:rsidR="00F64363" w:rsidRDefault="00F64363" w:rsidP="00F64363">
      <w:pPr>
        <w:pStyle w:val="ListParagraph"/>
        <w:numPr>
          <w:ilvl w:val="0"/>
          <w:numId w:val="22"/>
        </w:numPr>
      </w:pPr>
      <w:r>
        <w:t>The 2</w:t>
      </w:r>
      <w:r w:rsidRPr="00D62E06">
        <w:rPr>
          <w:vertAlign w:val="superscript"/>
        </w:rPr>
        <w:t>nd</w:t>
      </w:r>
      <w:r>
        <w:t xml:space="preserve"> set shows the overall responsiveness or winner’s bonus for the plan (</w:t>
      </w:r>
      <m:oMath>
        <m:r>
          <w:rPr>
            <w:rFonts w:ascii="Cambria Math" w:hAnsi="Cambria Math"/>
          </w:rPr>
          <m:t>R</m:t>
        </m:r>
      </m:oMath>
      <w:r>
        <w:t>) and the responsiveness at the typical statewide vote share (</w:t>
      </w:r>
      <m:oMath>
        <m:r>
          <w:rPr>
            <w:rFonts w:ascii="Cambria Math" w:hAnsi="Cambria Math"/>
          </w:rPr>
          <m:t>r</m:t>
        </m:r>
      </m:oMath>
      <w:r>
        <w:t xml:space="preserve">). </w:t>
      </w:r>
    </w:p>
    <w:p w14:paraId="06E2B18F" w14:textId="77777777" w:rsidR="00F64363" w:rsidRDefault="00F64363" w:rsidP="00F64363">
      <w:pPr>
        <w:pStyle w:val="ListParagraph"/>
        <w:numPr>
          <w:ilvl w:val="0"/>
          <w:numId w:val="22"/>
        </w:numPr>
      </w:pPr>
      <w:r>
        <w:t>The 3</w:t>
      </w:r>
      <w:r w:rsidRPr="005F4D58">
        <w:rPr>
          <w:vertAlign w:val="superscript"/>
        </w:rPr>
        <w:t>rd</w:t>
      </w:r>
      <w:r>
        <w:t xml:space="preserve"> set shows the measures of partisan gerrymandering via packing &amp; cracking: declination (</w:t>
      </w:r>
      <m:oMath>
        <m:r>
          <w:rPr>
            <w:rFonts w:ascii="Cambria Math" w:hAnsi="Cambria Math"/>
          </w:rPr>
          <m:t>δ</m:t>
        </m:r>
      </m:oMath>
      <w:r>
        <w:t>), lopsided outcomes (</w:t>
      </w:r>
      <m:oMath>
        <m:r>
          <w:rPr>
            <w:rFonts w:ascii="Cambria Math" w:hAnsi="Cambria Math"/>
          </w:rPr>
          <m:t>LO</m:t>
        </m:r>
      </m:oMath>
      <w:r>
        <w:t>), and mean–median difference (</w:t>
      </w:r>
      <m:oMath>
        <m:r>
          <w:rPr>
            <w:rFonts w:ascii="Cambria Math" w:hAnsi="Cambria Math"/>
          </w:rPr>
          <m:t>MM</m:t>
        </m:r>
      </m:oMath>
      <w:r>
        <w:t>).</w:t>
      </w:r>
    </w:p>
    <w:p w14:paraId="41C25EEA" w14:textId="77777777" w:rsidR="00F64363" w:rsidRDefault="00F64363" w:rsidP="00F64363">
      <w:pPr>
        <w:pStyle w:val="ListParagraph"/>
        <w:numPr>
          <w:ilvl w:val="0"/>
          <w:numId w:val="22"/>
        </w:numPr>
      </w:pPr>
      <w:r>
        <w:t>The 4</w:t>
      </w:r>
      <w:r w:rsidRPr="00963101">
        <w:rPr>
          <w:vertAlign w:val="superscript"/>
        </w:rPr>
        <w:t>th</w:t>
      </w:r>
      <w:r>
        <w:t xml:space="preserve"> set shows the measures of partisan symmetry: seats bias (</w:t>
      </w:r>
      <m:oMath>
        <m:sSub>
          <m:sSubPr>
            <m:ctrlPr>
              <w:rPr>
                <w:rFonts w:ascii="Cambria Math" w:hAnsi="Cambria Math"/>
              </w:rPr>
            </m:ctrlPr>
          </m:sSubPr>
          <m:e>
            <m:r>
              <w:rPr>
                <w:rFonts w:ascii="Cambria Math" w:hAnsi="Cambria Math"/>
              </w:rPr>
              <m:t>α</m:t>
            </m:r>
          </m:e>
          <m:sub>
            <m:r>
              <w:rPr>
                <w:rFonts w:ascii="Cambria Math" w:hAnsi="Cambria Math"/>
              </w:rPr>
              <m:t>S</m:t>
            </m:r>
          </m:sub>
        </m:sSub>
      </m:oMath>
      <w:r>
        <w:t>), votes bias (</w:t>
      </w:r>
      <m:oMath>
        <m:sSub>
          <m:sSubPr>
            <m:ctrlPr>
              <w:rPr>
                <w:rFonts w:ascii="Cambria Math" w:hAnsi="Cambria Math"/>
                <w:i/>
              </w:rPr>
            </m:ctrlPr>
          </m:sSubPr>
          <m:e>
            <m:r>
              <w:rPr>
                <w:rFonts w:ascii="Cambria Math" w:hAnsi="Cambria Math"/>
              </w:rPr>
              <m:t>α</m:t>
            </m:r>
          </m:e>
          <m:sub>
            <m:r>
              <w:rPr>
                <w:rFonts w:ascii="Cambria Math" w:hAnsi="Cambria Math"/>
              </w:rPr>
              <m:t>V</m:t>
            </m:r>
          </m:sub>
        </m:sSub>
      </m:oMath>
      <w:r>
        <w:t>), geometric seats bias (</w:t>
      </w:r>
      <m:oMath>
        <m:r>
          <w:rPr>
            <w:rFonts w:ascii="Cambria Math" w:hAnsi="Cambria Math"/>
          </w:rPr>
          <m:t>β</m:t>
        </m:r>
      </m:oMath>
      <w:r>
        <w:t>), and global symmetry (</w:t>
      </w:r>
      <m:oMath>
        <m:r>
          <w:rPr>
            <w:rFonts w:ascii="Cambria Math" w:hAnsi="Cambria Math"/>
          </w:rPr>
          <m:t>GS</m:t>
        </m:r>
      </m:oMath>
      <w:r>
        <w:t>).</w:t>
      </w:r>
    </w:p>
    <w:p w14:paraId="58C0180A" w14:textId="77777777" w:rsidR="00F64363" w:rsidRDefault="00F64363" w:rsidP="00F64363">
      <w:pPr>
        <w:pStyle w:val="ListParagraph"/>
        <w:numPr>
          <w:ilvl w:val="0"/>
          <w:numId w:val="22"/>
        </w:numPr>
      </w:pPr>
      <w:r>
        <w:t>The last set shows the deviation from proportionality (</w:t>
      </w:r>
      <m:oMath>
        <m:r>
          <w:rPr>
            <w:rFonts w:ascii="Cambria Math" w:hAnsi="Cambria Math"/>
          </w:rPr>
          <m:t>PR</m:t>
        </m:r>
      </m:oMath>
      <w:r>
        <w:t>), the efficiency gap (</w:t>
      </w:r>
      <m:oMath>
        <m:r>
          <w:rPr>
            <w:rFonts w:ascii="Cambria Math" w:hAnsi="Cambria Math"/>
          </w:rPr>
          <m:t>EG</m:t>
        </m:r>
      </m:oMath>
      <w:r>
        <w:t>), and gamma (</w:t>
      </w:r>
      <m:oMath>
        <m:r>
          <w:rPr>
            <w:rFonts w:ascii="Cambria Math" w:hAnsi="Cambria Math"/>
          </w:rPr>
          <m:t>γ</m:t>
        </m:r>
      </m:oMath>
      <w:r>
        <w:t>).</w:t>
      </w:r>
    </w:p>
    <w:p w14:paraId="5C671A16" w14:textId="77777777" w:rsidR="00F64363" w:rsidRDefault="00F64363" w:rsidP="00F64363"/>
    <w:p w14:paraId="7A60B1C1" w14:textId="77777777" w:rsidR="00F64363" w:rsidRDefault="00F64363" w:rsidP="00F64363">
      <w:r>
        <w:t xml:space="preserve">All values are denoted as percentages, except </w:t>
      </w:r>
      <m:oMath>
        <m:r>
          <w:rPr>
            <w:rFonts w:ascii="Cambria Math" w:hAnsi="Cambria Math"/>
          </w:rPr>
          <m:t>δ</m:t>
        </m:r>
      </m:oMath>
      <w:r>
        <w:t xml:space="preserve"> which is an angle in degrees and the two measures of responsiveness, </w:t>
      </w:r>
      <m:oMath>
        <m:r>
          <w:rPr>
            <w:rFonts w:ascii="Cambria Math" w:hAnsi="Cambria Math"/>
          </w:rPr>
          <m:t>R</m:t>
        </m:r>
      </m:oMath>
      <w:r>
        <w:t xml:space="preserve"> and </w:t>
      </w:r>
      <m:oMath>
        <m:r>
          <w:rPr>
            <w:rFonts w:ascii="Cambria Math" w:hAnsi="Cambria Math"/>
          </w:rPr>
          <m:t>r</m:t>
        </m:r>
      </m:oMath>
      <w:r>
        <w:t xml:space="preserve">. By convention, positive values indicate Republican advantage and negative values Democratic advantage. The highlighted values will be discussed in Section 4. </w:t>
      </w:r>
    </w:p>
    <w:p w14:paraId="466200EB" w14:textId="6F23202B" w:rsidR="00F64363" w:rsidRDefault="00F64363" w:rsidP="00F64363"/>
    <w:p w14:paraId="31960024" w14:textId="109837A6" w:rsidR="00651FC2" w:rsidRDefault="00651FC2" w:rsidP="00F64363">
      <w:r>
        <w:t xml:space="preserve">The seats–votes curves for the IL and CO plans above are examples of the D1 and D2 super-proportional outcomes in Fig. 1 </w:t>
      </w:r>
      <w:r w:rsidR="00523773">
        <w:t>below</w:t>
      </w:r>
      <w:r>
        <w:t>, respectively.</w:t>
      </w:r>
    </w:p>
    <w:p w14:paraId="38CA0C44" w14:textId="77777777" w:rsidR="00F64363" w:rsidRDefault="00F64363" w:rsidP="00F64363">
      <w:pPr>
        <w:jc w:val="center"/>
      </w:pPr>
      <w:r w:rsidRPr="007079B9">
        <w:rPr>
          <w:noProof/>
        </w:rPr>
        <w:lastRenderedPageBreak/>
        <w:drawing>
          <wp:inline distT="0" distB="0" distL="0" distR="0" wp14:anchorId="300DCD64" wp14:editId="1C8D358B">
            <wp:extent cx="3209544" cy="2926080"/>
            <wp:effectExtent l="12700" t="12700" r="16510" b="762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2"/>
                    <a:stretch>
                      <a:fillRect/>
                    </a:stretch>
                  </pic:blipFill>
                  <pic:spPr>
                    <a:xfrm>
                      <a:off x="0" y="0"/>
                      <a:ext cx="3209544" cy="2926080"/>
                    </a:xfrm>
                    <a:prstGeom prst="rect">
                      <a:avLst/>
                    </a:prstGeom>
                    <a:ln>
                      <a:solidFill>
                        <a:schemeClr val="accent1"/>
                      </a:solidFill>
                    </a:ln>
                  </pic:spPr>
                </pic:pic>
              </a:graphicData>
            </a:graphic>
          </wp:inline>
        </w:drawing>
      </w:r>
    </w:p>
    <w:p w14:paraId="3A455ED3" w14:textId="77777777" w:rsidR="00F64363" w:rsidRPr="007079B9" w:rsidRDefault="00F64363" w:rsidP="00F64363">
      <w:pPr>
        <w:jc w:val="center"/>
        <w:rPr>
          <w:sz w:val="20"/>
          <w:szCs w:val="20"/>
        </w:rPr>
      </w:pPr>
      <w:r w:rsidRPr="007079B9">
        <w:rPr>
          <w:sz w:val="20"/>
          <w:szCs w:val="20"/>
        </w:rPr>
        <w:t>Fig. 2. IL 2012 Congressional</w:t>
      </w:r>
    </w:p>
    <w:p w14:paraId="0E98765C" w14:textId="6B18330F" w:rsidR="003A46A8" w:rsidRDefault="003A46A8" w:rsidP="003A46A8">
      <w:r>
        <w:t xml:space="preserve"> </w:t>
      </w:r>
    </w:p>
    <w:p w14:paraId="1253A17E" w14:textId="77777777" w:rsidR="00F64363" w:rsidRDefault="00F64363" w:rsidP="00F64363"/>
    <w:p w14:paraId="2D671446" w14:textId="77777777" w:rsidR="00F64363" w:rsidRDefault="00F64363" w:rsidP="00F64363">
      <w:pPr>
        <w:jc w:val="center"/>
      </w:pPr>
      <w:r w:rsidRPr="001273FB">
        <w:rPr>
          <w:noProof/>
        </w:rPr>
        <w:drawing>
          <wp:inline distT="0" distB="0" distL="0" distR="0" wp14:anchorId="704BE285" wp14:editId="2A3DFE08">
            <wp:extent cx="3209544" cy="2926080"/>
            <wp:effectExtent l="12700" t="12700" r="16510" b="762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3"/>
                    <a:stretch>
                      <a:fillRect/>
                    </a:stretch>
                  </pic:blipFill>
                  <pic:spPr>
                    <a:xfrm>
                      <a:off x="0" y="0"/>
                      <a:ext cx="3209544" cy="2926080"/>
                    </a:xfrm>
                    <a:prstGeom prst="rect">
                      <a:avLst/>
                    </a:prstGeom>
                    <a:ln>
                      <a:solidFill>
                        <a:schemeClr val="accent1"/>
                      </a:solidFill>
                    </a:ln>
                  </pic:spPr>
                </pic:pic>
              </a:graphicData>
            </a:graphic>
          </wp:inline>
        </w:drawing>
      </w:r>
    </w:p>
    <w:p w14:paraId="66818F6E" w14:textId="77777777" w:rsidR="00F64363" w:rsidRPr="001273FB" w:rsidRDefault="00F64363" w:rsidP="00F64363">
      <w:pPr>
        <w:jc w:val="center"/>
        <w:rPr>
          <w:sz w:val="20"/>
          <w:szCs w:val="20"/>
        </w:rPr>
      </w:pPr>
      <w:r w:rsidRPr="001273FB">
        <w:rPr>
          <w:sz w:val="20"/>
          <w:szCs w:val="20"/>
        </w:rPr>
        <w:t>Fig. 3. CO 2012 Congressional</w:t>
      </w:r>
    </w:p>
    <w:p w14:paraId="2E8681E8" w14:textId="77777777" w:rsidR="006D7020" w:rsidRDefault="006D7020" w:rsidP="006D7020"/>
    <w:p w14:paraId="44C8ABE9" w14:textId="1E45E17B" w:rsidR="00F64363" w:rsidRDefault="006D7020" w:rsidP="006D7020">
      <w:r>
        <w:t>The NC, OH, and PA seats–votes curves (not shown) are all examples of D4 anti-majoritarian outcomes. Seats</w:t>
      </w:r>
      <w:r>
        <w:softHyphen/>
        <w:t>–votes curves for all the plans may be found in the Supplementary Material.</w:t>
      </w:r>
    </w:p>
    <w:p w14:paraId="79E80093" w14:textId="77777777" w:rsidR="006D7020" w:rsidRDefault="006D7020" w:rsidP="006D7020"/>
    <w:p w14:paraId="6177E8BA" w14:textId="77777777" w:rsidR="00F64363" w:rsidRDefault="00F64363" w:rsidP="00947AF1">
      <w:pPr>
        <w:pStyle w:val="Heading2"/>
      </w:pPr>
      <w:r>
        <w:lastRenderedPageBreak/>
        <w:t>3.2. Corresponding 2020 Congressional Plans</w:t>
      </w:r>
    </w:p>
    <w:p w14:paraId="502814AA" w14:textId="77777777" w:rsidR="00F64363" w:rsidRDefault="00F64363" w:rsidP="00947AF1">
      <w:pPr>
        <w:keepNext/>
      </w:pPr>
    </w:p>
    <w:p w14:paraId="2CADA995" w14:textId="77777777" w:rsidR="00F64363" w:rsidRDefault="00F64363" w:rsidP="00F64363">
      <w:r>
        <w:t>The second set of plans are the corresponding 2020 maps for the same states but using a composite of 2016–2020 election</w:t>
      </w:r>
      <w:r w:rsidRPr="001857E5">
        <w:t>.</w:t>
      </w:r>
      <w:r>
        <w:rPr>
          <w:rStyle w:val="FootnoteReference"/>
        </w:rPr>
        <w:footnoteReference w:id="39"/>
      </w:r>
      <w:r w:rsidRPr="001857E5">
        <w:t xml:space="preserve"> </w:t>
      </w:r>
      <w:r>
        <w:t>The plans are otherwise the same as the 2012 plans, except in NC and PA where courts redrew them mid-decade.</w:t>
      </w:r>
    </w:p>
    <w:p w14:paraId="1D4F7B38" w14:textId="77777777" w:rsidR="00F64363" w:rsidRDefault="00F64363" w:rsidP="00F64363"/>
    <w:p w14:paraId="0D36CEC4" w14:textId="77777777" w:rsidR="00F64363" w:rsidRDefault="00F64363" w:rsidP="00F64363">
      <w:pPr>
        <w:tabs>
          <w:tab w:val="clear" w:pos="9360"/>
        </w:tabs>
      </w:pPr>
      <w:r>
        <w:tab/>
      </w:r>
      <w:r w:rsidRPr="00E20571">
        <w:rPr>
          <w:noProof/>
        </w:rPr>
        <w:drawing>
          <wp:inline distT="0" distB="0" distL="0" distR="0" wp14:anchorId="27473A2C" wp14:editId="728F657A">
            <wp:extent cx="4133088" cy="1664208"/>
            <wp:effectExtent l="0" t="0" r="0" b="0"/>
            <wp:docPr id="9" name="Picture 9"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pic:nvPicPr>
                  <pic:blipFill>
                    <a:blip r:embed="rId14"/>
                    <a:stretch>
                      <a:fillRect/>
                    </a:stretch>
                  </pic:blipFill>
                  <pic:spPr>
                    <a:xfrm>
                      <a:off x="0" y="0"/>
                      <a:ext cx="4133088" cy="1664208"/>
                    </a:xfrm>
                    <a:prstGeom prst="rect">
                      <a:avLst/>
                    </a:prstGeom>
                  </pic:spPr>
                </pic:pic>
              </a:graphicData>
            </a:graphic>
          </wp:inline>
        </w:drawing>
      </w:r>
    </w:p>
    <w:p w14:paraId="0AA6EA42" w14:textId="77777777" w:rsidR="00F64363" w:rsidRPr="00171B8C" w:rsidRDefault="00F64363" w:rsidP="00F64363">
      <w:pPr>
        <w:jc w:val="center"/>
        <w:rPr>
          <w:sz w:val="20"/>
          <w:szCs w:val="20"/>
        </w:rPr>
      </w:pPr>
      <w:r w:rsidRPr="00171B8C">
        <w:rPr>
          <w:sz w:val="20"/>
          <w:szCs w:val="20"/>
        </w:rPr>
        <w:t xml:space="preserve">Table </w:t>
      </w:r>
      <w:r>
        <w:rPr>
          <w:sz w:val="20"/>
          <w:szCs w:val="20"/>
        </w:rPr>
        <w:t>2 – Metrics for Select 2020 Congressional Plans</w:t>
      </w:r>
    </w:p>
    <w:p w14:paraId="40758A2B" w14:textId="77777777" w:rsidR="00F64363" w:rsidRDefault="00F64363" w:rsidP="00F64363">
      <w:pPr>
        <w:tabs>
          <w:tab w:val="clear" w:pos="9360"/>
        </w:tabs>
      </w:pPr>
    </w:p>
    <w:p w14:paraId="78426331" w14:textId="77777777" w:rsidR="00F64363" w:rsidRDefault="00F64363" w:rsidP="00F64363">
      <w:r>
        <w:t>Table 2 above shows the measurements for these metrics. The seats–votes curves for the TX and PA maps below are examples of the R1 super-proportional and D3 sub-proportional outcomes in Fig. 1, respectively.</w:t>
      </w:r>
    </w:p>
    <w:p w14:paraId="0E732A62" w14:textId="77777777" w:rsidR="00383C61" w:rsidRDefault="00383C61" w:rsidP="00F64363"/>
    <w:p w14:paraId="4227F194" w14:textId="77777777" w:rsidR="00F64363" w:rsidRDefault="00F64363" w:rsidP="00F64363">
      <w:pPr>
        <w:jc w:val="center"/>
      </w:pPr>
      <w:r w:rsidRPr="001C1A32">
        <w:rPr>
          <w:noProof/>
        </w:rPr>
        <w:drawing>
          <wp:inline distT="0" distB="0" distL="0" distR="0" wp14:anchorId="0234DBB5" wp14:editId="40DD4EE6">
            <wp:extent cx="3209544" cy="2926080"/>
            <wp:effectExtent l="12700" t="12700" r="16510" b="762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5"/>
                    <a:stretch>
                      <a:fillRect/>
                    </a:stretch>
                  </pic:blipFill>
                  <pic:spPr>
                    <a:xfrm>
                      <a:off x="0" y="0"/>
                      <a:ext cx="3209544" cy="2926080"/>
                    </a:xfrm>
                    <a:prstGeom prst="rect">
                      <a:avLst/>
                    </a:prstGeom>
                    <a:ln>
                      <a:solidFill>
                        <a:schemeClr val="accent1"/>
                      </a:solidFill>
                    </a:ln>
                  </pic:spPr>
                </pic:pic>
              </a:graphicData>
            </a:graphic>
          </wp:inline>
        </w:drawing>
      </w:r>
    </w:p>
    <w:p w14:paraId="116B8300" w14:textId="77777777" w:rsidR="00F64363" w:rsidRPr="001C1A32" w:rsidRDefault="00F64363" w:rsidP="00F64363">
      <w:pPr>
        <w:jc w:val="center"/>
        <w:rPr>
          <w:sz w:val="20"/>
          <w:szCs w:val="20"/>
        </w:rPr>
      </w:pPr>
      <w:r w:rsidRPr="001C1A32">
        <w:rPr>
          <w:sz w:val="20"/>
          <w:szCs w:val="20"/>
        </w:rPr>
        <w:t>Fig</w:t>
      </w:r>
      <w:r>
        <w:rPr>
          <w:sz w:val="20"/>
          <w:szCs w:val="20"/>
        </w:rPr>
        <w:t>. 4.</w:t>
      </w:r>
      <w:r w:rsidRPr="001C1A32">
        <w:rPr>
          <w:sz w:val="20"/>
          <w:szCs w:val="20"/>
        </w:rPr>
        <w:t xml:space="preserve"> TX 2020 Congressional</w:t>
      </w:r>
    </w:p>
    <w:p w14:paraId="648D4E5F" w14:textId="77777777" w:rsidR="00F64363" w:rsidRDefault="00F64363" w:rsidP="00F64363"/>
    <w:p w14:paraId="1C047545" w14:textId="77777777" w:rsidR="00F64363" w:rsidRDefault="00F64363" w:rsidP="00F64363">
      <w:pPr>
        <w:jc w:val="center"/>
      </w:pPr>
      <w:r w:rsidRPr="001C1A32">
        <w:rPr>
          <w:noProof/>
        </w:rPr>
        <w:lastRenderedPageBreak/>
        <w:drawing>
          <wp:inline distT="0" distB="0" distL="0" distR="0" wp14:anchorId="0528A47A" wp14:editId="033A9B6A">
            <wp:extent cx="3209544" cy="2926080"/>
            <wp:effectExtent l="12700" t="12700" r="16510" b="762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6"/>
                    <a:stretch>
                      <a:fillRect/>
                    </a:stretch>
                  </pic:blipFill>
                  <pic:spPr>
                    <a:xfrm>
                      <a:off x="0" y="0"/>
                      <a:ext cx="3209544" cy="2926080"/>
                    </a:xfrm>
                    <a:prstGeom prst="rect">
                      <a:avLst/>
                    </a:prstGeom>
                    <a:ln>
                      <a:solidFill>
                        <a:schemeClr val="accent1"/>
                      </a:solidFill>
                    </a:ln>
                  </pic:spPr>
                </pic:pic>
              </a:graphicData>
            </a:graphic>
          </wp:inline>
        </w:drawing>
      </w:r>
    </w:p>
    <w:p w14:paraId="72139AFA" w14:textId="77777777" w:rsidR="00F64363" w:rsidRPr="001C1A32" w:rsidRDefault="00F64363" w:rsidP="00F64363">
      <w:pPr>
        <w:jc w:val="center"/>
        <w:rPr>
          <w:sz w:val="20"/>
          <w:szCs w:val="20"/>
        </w:rPr>
      </w:pPr>
      <w:r w:rsidRPr="001C1A32">
        <w:rPr>
          <w:sz w:val="20"/>
          <w:szCs w:val="20"/>
        </w:rPr>
        <w:t>Fi</w:t>
      </w:r>
      <w:r>
        <w:rPr>
          <w:sz w:val="20"/>
          <w:szCs w:val="20"/>
        </w:rPr>
        <w:t>g. 5</w:t>
      </w:r>
      <w:r w:rsidRPr="001C1A32">
        <w:rPr>
          <w:sz w:val="20"/>
          <w:szCs w:val="20"/>
        </w:rPr>
        <w:t>. PA 2020 Congressional</w:t>
      </w:r>
    </w:p>
    <w:p w14:paraId="048D172A" w14:textId="74D000ED" w:rsidR="00F64363" w:rsidRDefault="00F64363" w:rsidP="00F64363"/>
    <w:p w14:paraId="73EE6EC1" w14:textId="77777777" w:rsidR="00600634" w:rsidRDefault="00600634" w:rsidP="00600634">
      <w:r>
        <w:t>Again, seats–votes curves for all plans may be found in the Supplementary Material.</w:t>
      </w:r>
    </w:p>
    <w:p w14:paraId="6AC07251" w14:textId="77777777" w:rsidR="00600634" w:rsidRDefault="00600634" w:rsidP="00F64363"/>
    <w:p w14:paraId="33BE5610" w14:textId="77777777" w:rsidR="00F64363" w:rsidRDefault="00F64363" w:rsidP="00F64363">
      <w:pPr>
        <w:pStyle w:val="Heading2"/>
      </w:pPr>
      <w:r>
        <w:t>3.3. Warrington’s Hypothetical Plans</w:t>
      </w:r>
    </w:p>
    <w:p w14:paraId="27F8794F" w14:textId="77777777" w:rsidR="00F64363" w:rsidRDefault="00F64363" w:rsidP="00F64363">
      <w:pPr>
        <w:keepNext/>
      </w:pPr>
    </w:p>
    <w:p w14:paraId="025288D8" w14:textId="77777777" w:rsidR="00F64363" w:rsidRDefault="00F64363" w:rsidP="00F64363">
      <w:r>
        <w:t>Finally, Warrington created a set of 12 hypothetical plans so he could study how well various metrics detected partisan gerrymandering (Warrington, 2019). Each archetypal plan has an associated partisan profile. These are short descriptions of each:</w:t>
      </w:r>
      <w:r>
        <w:rPr>
          <w:rStyle w:val="FootnoteReference"/>
        </w:rPr>
        <w:footnoteReference w:id="40"/>
      </w:r>
    </w:p>
    <w:p w14:paraId="33588256" w14:textId="77777777" w:rsidR="00F64363" w:rsidRDefault="00F64363" w:rsidP="00F64363"/>
    <w:p w14:paraId="658CFC1A" w14:textId="77777777" w:rsidR="00F64363" w:rsidRDefault="00F64363" w:rsidP="00F64363">
      <w:pPr>
        <w:pStyle w:val="ListParagraph"/>
        <w:numPr>
          <w:ilvl w:val="0"/>
          <w:numId w:val="23"/>
        </w:numPr>
      </w:pPr>
      <w:r w:rsidRPr="00174B82">
        <w:rPr>
          <w:u w:val="single"/>
        </w:rPr>
        <w:t>A: 1-proportionality</w:t>
      </w:r>
      <w:r>
        <w:t xml:space="preserve"> – Designed for seats won to track votes received.</w:t>
      </w:r>
    </w:p>
    <w:p w14:paraId="6CB060A3" w14:textId="77777777" w:rsidR="00F64363" w:rsidRDefault="00F64363" w:rsidP="00F64363">
      <w:pPr>
        <w:pStyle w:val="ListParagraph"/>
        <w:numPr>
          <w:ilvl w:val="0"/>
          <w:numId w:val="23"/>
        </w:numPr>
      </w:pPr>
      <w:r w:rsidRPr="00174B82">
        <w:rPr>
          <w:u w:val="single"/>
        </w:rPr>
        <w:t>B: 2-proportionality</w:t>
      </w:r>
      <w:r>
        <w:t xml:space="preserve"> – Designed such that </w:t>
      </w:r>
      <m:oMath>
        <m:r>
          <w:rPr>
            <w:rFonts w:ascii="Cambria Math" w:hAnsi="Cambria Math"/>
          </w:rPr>
          <m:t>EG=0</m:t>
        </m:r>
      </m:oMath>
      <w:r>
        <w:t xml:space="preserve"> for all vote shares.</w:t>
      </w:r>
    </w:p>
    <w:p w14:paraId="45783C55" w14:textId="77777777" w:rsidR="00F64363" w:rsidRDefault="00F64363" w:rsidP="00F64363">
      <w:pPr>
        <w:pStyle w:val="ListParagraph"/>
        <w:numPr>
          <w:ilvl w:val="0"/>
          <w:numId w:val="23"/>
        </w:numPr>
      </w:pPr>
      <w:r w:rsidRPr="00174B82">
        <w:rPr>
          <w:u w:val="single"/>
        </w:rPr>
        <w:t>C: 3-proportionality</w:t>
      </w:r>
      <w:r>
        <w:t xml:space="preserve"> – Designed with a responsiveness (</w:t>
      </w:r>
      <m:oMath>
        <m:r>
          <w:rPr>
            <w:rFonts w:ascii="Cambria Math" w:hAnsi="Cambria Math"/>
          </w:rPr>
          <m:t>r</m:t>
        </m:r>
      </m:oMath>
      <w:r>
        <w:t>) of three for all vote shares.</w:t>
      </w:r>
    </w:p>
    <w:p w14:paraId="30AF711B" w14:textId="77777777" w:rsidR="00F64363" w:rsidRDefault="00F64363" w:rsidP="00F64363">
      <w:pPr>
        <w:pStyle w:val="ListParagraph"/>
        <w:numPr>
          <w:ilvl w:val="0"/>
          <w:numId w:val="23"/>
        </w:numPr>
      </w:pPr>
      <w:r w:rsidRPr="00174B82">
        <w:rPr>
          <w:u w:val="single"/>
        </w:rPr>
        <w:t>D: Sweep</w:t>
      </w:r>
      <w:r>
        <w:t xml:space="preserve"> – Designed so that Democrats win all the seats, even though the statewide vote share is only 64%, e.g., like Massachusetts congressional plans.</w:t>
      </w:r>
    </w:p>
    <w:p w14:paraId="5592E5AF" w14:textId="77777777" w:rsidR="00F64363" w:rsidRPr="00C71A6A" w:rsidRDefault="00F64363" w:rsidP="00F64363">
      <w:pPr>
        <w:pStyle w:val="ListParagraph"/>
        <w:numPr>
          <w:ilvl w:val="0"/>
          <w:numId w:val="23"/>
        </w:numPr>
      </w:pPr>
      <w:r w:rsidRPr="00174B82">
        <w:rPr>
          <w:u w:val="single"/>
        </w:rPr>
        <w:t>E: Competitive</w:t>
      </w:r>
      <w:r w:rsidRPr="00C71A6A">
        <w:t xml:space="preserve"> – </w:t>
      </w:r>
      <w:r>
        <w:t>Even though statewide vote share is nearly even (52%) and there are</w:t>
      </w:r>
      <w:r w:rsidRPr="00C71A6A">
        <w:t xml:space="preserve"> several very competitive races</w:t>
      </w:r>
      <w:r>
        <w:t xml:space="preserve">, they all lean slightly </w:t>
      </w:r>
      <w:r w:rsidRPr="00C71A6A">
        <w:t xml:space="preserve">towards </w:t>
      </w:r>
      <w:r>
        <w:t>Democrats.</w:t>
      </w:r>
    </w:p>
    <w:p w14:paraId="7F825259" w14:textId="77777777" w:rsidR="00F64363" w:rsidRPr="00621666" w:rsidRDefault="00F64363" w:rsidP="00F64363">
      <w:pPr>
        <w:pStyle w:val="ListParagraph"/>
        <w:numPr>
          <w:ilvl w:val="0"/>
          <w:numId w:val="23"/>
        </w:numPr>
      </w:pPr>
      <w:r w:rsidRPr="00174B82">
        <w:rPr>
          <w:u w:val="single"/>
        </w:rPr>
        <w:t>F: Competitive even</w:t>
      </w:r>
      <w:r w:rsidRPr="00621666">
        <w:t xml:space="preserve"> – </w:t>
      </w:r>
      <w:r>
        <w:t>Again, the statewide vote share is nearly even (51%) with several competitive districts. Here</w:t>
      </w:r>
      <w:r w:rsidRPr="00621666">
        <w:t xml:space="preserve"> </w:t>
      </w:r>
      <w:r>
        <w:t>though none of them fall “</w:t>
      </w:r>
      <w:r w:rsidRPr="00621666">
        <w:t>in the ‘counterfactual window’ (i.e., between the majority party’s statewide support and 50%”</w:t>
      </w:r>
      <w:r>
        <w:rPr>
          <w:rStyle w:val="FootnoteReference"/>
        </w:rPr>
        <w:footnoteReference w:id="41"/>
      </w:r>
      <w:r>
        <w:t xml:space="preserve">) and they all still lean Democratic. </w:t>
      </w:r>
    </w:p>
    <w:p w14:paraId="459E1020" w14:textId="77777777" w:rsidR="00F64363" w:rsidRPr="00642485" w:rsidRDefault="00F64363" w:rsidP="00F64363">
      <w:pPr>
        <w:pStyle w:val="ListParagraph"/>
        <w:numPr>
          <w:ilvl w:val="0"/>
          <w:numId w:val="23"/>
        </w:numPr>
      </w:pPr>
      <w:r w:rsidRPr="00177C31">
        <w:rPr>
          <w:u w:val="single"/>
        </w:rPr>
        <w:t>G: Uncompetitive</w:t>
      </w:r>
      <w:r w:rsidRPr="00642485">
        <w:t xml:space="preserve"> – </w:t>
      </w:r>
      <w:r>
        <w:t>This profile models an “</w:t>
      </w:r>
      <w:r w:rsidRPr="00613A31">
        <w:t>uncompetitive election as might arise from a bipartisan gerrymander</w:t>
      </w:r>
      <w:r>
        <w:t>.”</w:t>
      </w:r>
      <w:r>
        <w:rPr>
          <w:rStyle w:val="FootnoteReference"/>
        </w:rPr>
        <w:footnoteReference w:id="42"/>
      </w:r>
      <w:r>
        <w:t xml:space="preserve"> The average winning margins for both parties are large. The statewide vote share marginally favors Democrats (</w:t>
      </w:r>
      <w:r w:rsidRPr="00642485">
        <w:t>52</w:t>
      </w:r>
      <w:r>
        <w:t>.</w:t>
      </w:r>
      <w:r w:rsidRPr="00642485">
        <w:t>3</w:t>
      </w:r>
      <w:r>
        <w:t>%).</w:t>
      </w:r>
    </w:p>
    <w:p w14:paraId="5BDD75C3" w14:textId="77777777" w:rsidR="00F64363" w:rsidRPr="00642485" w:rsidRDefault="00F64363" w:rsidP="00F64363">
      <w:pPr>
        <w:pStyle w:val="ListParagraph"/>
        <w:numPr>
          <w:ilvl w:val="0"/>
          <w:numId w:val="23"/>
        </w:numPr>
      </w:pPr>
      <w:r w:rsidRPr="005E4EA9">
        <w:rPr>
          <w:u w:val="single"/>
        </w:rPr>
        <w:lastRenderedPageBreak/>
        <w:t>H: Very uncompetitive</w:t>
      </w:r>
      <w:r w:rsidRPr="00642485">
        <w:t xml:space="preserve"> – </w:t>
      </w:r>
      <w:r>
        <w:t xml:space="preserve">This plan is like the previous example, except that the average winning margins are even more pronounced. </w:t>
      </w:r>
    </w:p>
    <w:p w14:paraId="59FBA762" w14:textId="77777777" w:rsidR="00F64363" w:rsidRDefault="00F64363" w:rsidP="00F64363">
      <w:pPr>
        <w:pStyle w:val="ListParagraph"/>
        <w:numPr>
          <w:ilvl w:val="0"/>
          <w:numId w:val="23"/>
        </w:numPr>
      </w:pPr>
      <w:r w:rsidRPr="00873241">
        <w:rPr>
          <w:u w:val="single"/>
        </w:rPr>
        <w:t>I: Cubic</w:t>
      </w:r>
      <w:r>
        <w:t xml:space="preserve"> – This profile embodies the classic “cube law” seats–votes relationship.</w:t>
      </w:r>
    </w:p>
    <w:p w14:paraId="265149DF" w14:textId="77777777" w:rsidR="00F64363" w:rsidRDefault="00F64363" w:rsidP="00F64363">
      <w:pPr>
        <w:pStyle w:val="ListParagraph"/>
        <w:numPr>
          <w:ilvl w:val="0"/>
          <w:numId w:val="23"/>
        </w:numPr>
      </w:pPr>
      <w:r w:rsidRPr="00873241">
        <w:rPr>
          <w:u w:val="single"/>
        </w:rPr>
        <w:t>J: Anti-majoritarian</w:t>
      </w:r>
      <w:r>
        <w:t xml:space="preserve"> – Here Democrats get less than half the votes but win more than half the seats.</w:t>
      </w:r>
    </w:p>
    <w:p w14:paraId="178BBFBD" w14:textId="77777777" w:rsidR="00F64363" w:rsidRDefault="00F64363" w:rsidP="00F64363">
      <w:pPr>
        <w:pStyle w:val="ListParagraph"/>
        <w:numPr>
          <w:ilvl w:val="0"/>
          <w:numId w:val="23"/>
        </w:numPr>
      </w:pPr>
      <w:r w:rsidRPr="00873241">
        <w:rPr>
          <w:u w:val="single"/>
        </w:rPr>
        <w:t>K: Classic</w:t>
      </w:r>
      <w:r>
        <w:t xml:space="preserve"> – This profile models a classic partisan gerrymander: The statewide vote share is evenly split (50%), but “</w:t>
      </w:r>
      <w:r w:rsidRPr="00CB6164">
        <w:t>Republicans win a significant majority through having a number of narrow victories in contrast to their Democratic opponents whose few victories are overwhelming.</w:t>
      </w:r>
      <w:r>
        <w:t>”</w:t>
      </w:r>
      <w:r>
        <w:rPr>
          <w:rStyle w:val="FootnoteReference"/>
        </w:rPr>
        <w:footnoteReference w:id="43"/>
      </w:r>
      <w:r>
        <w:t xml:space="preserve"> </w:t>
      </w:r>
    </w:p>
    <w:p w14:paraId="67477353" w14:textId="77777777" w:rsidR="00F64363" w:rsidRDefault="00F64363" w:rsidP="00F64363">
      <w:pPr>
        <w:pStyle w:val="ListParagraph"/>
        <w:numPr>
          <w:ilvl w:val="0"/>
          <w:numId w:val="23"/>
        </w:numPr>
      </w:pPr>
      <w:r w:rsidRPr="000E52E0">
        <w:rPr>
          <w:u w:val="single"/>
        </w:rPr>
        <w:t>L: Inverted</w:t>
      </w:r>
      <w:r>
        <w:t xml:space="preserve"> – This profile is somewhat complementary to the 2-proportionality example, except the Democratic &amp; Republican vote shares are switched and more extreme.</w:t>
      </w:r>
    </w:p>
    <w:p w14:paraId="3B2023CD" w14:textId="77777777" w:rsidR="00F64363" w:rsidRDefault="00F64363" w:rsidP="00F64363"/>
    <w:p w14:paraId="5B0A317C" w14:textId="77777777" w:rsidR="00F64363" w:rsidRDefault="00F64363" w:rsidP="00F64363">
      <w:r>
        <w:t>The essence of each plan is illustrated by rank–votes graphs shown in Fig. 6. The partisan profiles and seats–votes curves for each may be found in the Supplementary Material.</w:t>
      </w:r>
    </w:p>
    <w:p w14:paraId="31193CDC" w14:textId="77777777" w:rsidR="00F64363" w:rsidRPr="00AF459D" w:rsidRDefault="00F64363" w:rsidP="00F64363"/>
    <w:p w14:paraId="3040A375" w14:textId="77777777" w:rsidR="00F64363" w:rsidRDefault="00F64363" w:rsidP="00F64363">
      <w:r w:rsidRPr="00435233">
        <w:rPr>
          <w:noProof/>
        </w:rPr>
        <w:drawing>
          <wp:inline distT="0" distB="0" distL="0" distR="0" wp14:anchorId="7A68E2BC" wp14:editId="24CF2D1A">
            <wp:extent cx="5943600" cy="3501390"/>
            <wp:effectExtent l="0" t="0" r="0" b="381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17"/>
                    <a:stretch>
                      <a:fillRect/>
                    </a:stretch>
                  </pic:blipFill>
                  <pic:spPr>
                    <a:xfrm>
                      <a:off x="0" y="0"/>
                      <a:ext cx="5943600" cy="3501390"/>
                    </a:xfrm>
                    <a:prstGeom prst="rect">
                      <a:avLst/>
                    </a:prstGeom>
                  </pic:spPr>
                </pic:pic>
              </a:graphicData>
            </a:graphic>
          </wp:inline>
        </w:drawing>
      </w:r>
    </w:p>
    <w:p w14:paraId="3ACB89AF" w14:textId="77777777" w:rsidR="00F64363" w:rsidRDefault="00F64363" w:rsidP="00F64363">
      <w:pPr>
        <w:jc w:val="center"/>
        <w:rPr>
          <w:sz w:val="20"/>
          <w:szCs w:val="20"/>
        </w:rPr>
      </w:pPr>
      <w:r w:rsidRPr="00265F32">
        <w:rPr>
          <w:sz w:val="20"/>
          <w:szCs w:val="20"/>
        </w:rPr>
        <w:t xml:space="preserve">Fig. </w:t>
      </w:r>
      <w:r>
        <w:rPr>
          <w:sz w:val="20"/>
          <w:szCs w:val="20"/>
        </w:rPr>
        <w:t>6</w:t>
      </w:r>
      <w:r w:rsidRPr="00265F32">
        <w:rPr>
          <w:sz w:val="20"/>
          <w:szCs w:val="20"/>
        </w:rPr>
        <w:t>. Rank–Votes Graphs for Warrington’s Hypothetical Plans</w:t>
      </w:r>
    </w:p>
    <w:p w14:paraId="2D6DD1AC" w14:textId="77777777" w:rsidR="00F64363" w:rsidRDefault="00F64363" w:rsidP="00F64363"/>
    <w:p w14:paraId="691177D1" w14:textId="77777777" w:rsidR="00F64363" w:rsidRDefault="00F64363" w:rsidP="00F64363">
      <w:pPr>
        <w:keepNext/>
      </w:pPr>
      <w:r>
        <w:t>The measurements for these hypothetical profiles are shown in Table 3.</w:t>
      </w:r>
    </w:p>
    <w:p w14:paraId="5E2E7FF0" w14:textId="77777777" w:rsidR="00F64363" w:rsidRDefault="00F64363" w:rsidP="00F64363"/>
    <w:p w14:paraId="38EF136C" w14:textId="77777777" w:rsidR="00F64363" w:rsidRDefault="00F64363" w:rsidP="00F64363">
      <w:pPr>
        <w:jc w:val="center"/>
      </w:pPr>
      <w:r w:rsidRPr="00E20571">
        <w:rPr>
          <w:noProof/>
        </w:rPr>
        <w:lastRenderedPageBreak/>
        <w:drawing>
          <wp:inline distT="0" distB="0" distL="0" distR="0" wp14:anchorId="3B021118" wp14:editId="5956869B">
            <wp:extent cx="4956048" cy="1700784"/>
            <wp:effectExtent l="0" t="0" r="0" b="127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8"/>
                    <a:stretch>
                      <a:fillRect/>
                    </a:stretch>
                  </pic:blipFill>
                  <pic:spPr>
                    <a:xfrm>
                      <a:off x="0" y="0"/>
                      <a:ext cx="4956048" cy="1700784"/>
                    </a:xfrm>
                    <a:prstGeom prst="rect">
                      <a:avLst/>
                    </a:prstGeom>
                  </pic:spPr>
                </pic:pic>
              </a:graphicData>
            </a:graphic>
          </wp:inline>
        </w:drawing>
      </w:r>
    </w:p>
    <w:p w14:paraId="46C8EC07" w14:textId="77777777" w:rsidR="00F64363" w:rsidRPr="00171B8C" w:rsidRDefault="00F64363" w:rsidP="00F64363">
      <w:pPr>
        <w:jc w:val="center"/>
        <w:rPr>
          <w:sz w:val="20"/>
          <w:szCs w:val="20"/>
        </w:rPr>
      </w:pPr>
      <w:r w:rsidRPr="00171B8C">
        <w:rPr>
          <w:sz w:val="20"/>
          <w:szCs w:val="20"/>
        </w:rPr>
        <w:t xml:space="preserve">Table </w:t>
      </w:r>
      <w:r>
        <w:rPr>
          <w:sz w:val="20"/>
          <w:szCs w:val="20"/>
        </w:rPr>
        <w:t>3 – Measurements for Hypothetical Plans</w:t>
      </w:r>
    </w:p>
    <w:p w14:paraId="2513A18F" w14:textId="77777777" w:rsidR="00F64363" w:rsidRDefault="00F64363" w:rsidP="00F64363">
      <w:pPr>
        <w:jc w:val="center"/>
      </w:pPr>
    </w:p>
    <w:p w14:paraId="7D29BCB1" w14:textId="77777777" w:rsidR="00F64363" w:rsidRDefault="00F64363" w:rsidP="00F64363">
      <w:r>
        <w:t>Warrington evaluated the plans using all-or-nothing first-past-the-post accounting, as opposed to the fractional seat probabilities method that I use, so some of these scenarios may not report as crisply here. To simplify the values,</w:t>
      </w:r>
      <w:r w:rsidRPr="00FC7065">
        <w:rPr>
          <w:rStyle w:val="FootnoteReference"/>
        </w:rPr>
        <w:t xml:space="preserve"> </w:t>
      </w:r>
      <w:r w:rsidRPr="00CC67B1">
        <w:t xml:space="preserve">I show </w:t>
      </w:r>
      <w:r>
        <w:t xml:space="preserve">the percentages for </w:t>
      </w:r>
      <w:r w:rsidRPr="00CC67B1">
        <w:t xml:space="preserve">whole seats </w:t>
      </w:r>
      <w:r>
        <w:t>in</w:t>
      </w:r>
      <w:r w:rsidRPr="00CC67B1">
        <w:t xml:space="preserve"> the </w:t>
      </w:r>
      <m:oMath>
        <m:r>
          <w:rPr>
            <w:rFonts w:ascii="Cambria Math" w:hAnsi="Cambria Math"/>
          </w:rPr>
          <m:t>S(</m:t>
        </m:r>
        <m:acc>
          <m:accPr>
            <m:chr m:val="̅"/>
            <m:ctrlPr>
              <w:rPr>
                <w:rFonts w:ascii="Cambria Math" w:hAnsi="Cambria Math"/>
                <w:i/>
              </w:rPr>
            </m:ctrlPr>
          </m:accPr>
          <m:e>
            <m:r>
              <w:rPr>
                <w:rFonts w:ascii="Cambria Math" w:hAnsi="Cambria Math"/>
              </w:rPr>
              <m:t>V</m:t>
            </m:r>
          </m:e>
        </m:acc>
        <m:r>
          <w:rPr>
            <w:rFonts w:ascii="Cambria Math" w:hAnsi="Cambria Math"/>
          </w:rPr>
          <m:t>)</m:t>
        </m:r>
      </m:oMath>
      <w:r w:rsidRPr="00CC67B1">
        <w:t xml:space="preserve"> column.</w:t>
      </w:r>
    </w:p>
    <w:p w14:paraId="0E5A523C" w14:textId="01CB15CB" w:rsidR="00F64363" w:rsidRDefault="00F64363" w:rsidP="0001675E"/>
    <w:p w14:paraId="40A9A7D2" w14:textId="77777777" w:rsidR="00A1530C" w:rsidRPr="00094214" w:rsidRDefault="00A1530C" w:rsidP="00A1530C">
      <w:pPr>
        <w:rPr>
          <w:b/>
          <w:bCs/>
        </w:rPr>
      </w:pPr>
      <w:r>
        <w:rPr>
          <w:rStyle w:val="Heading1Char"/>
        </w:rPr>
        <w:t>4. Analysis of Metrics</w:t>
      </w:r>
    </w:p>
    <w:p w14:paraId="4797EC92" w14:textId="77777777" w:rsidR="00A1530C" w:rsidRDefault="00A1530C" w:rsidP="00A1530C"/>
    <w:p w14:paraId="2A5B693E" w14:textId="752509AE" w:rsidR="00A1530C" w:rsidRDefault="00A1530C" w:rsidP="00A1530C">
      <w:r>
        <w:t xml:space="preserve">This section evaluates the ten metrics shown in Tables 1–3 above as </w:t>
      </w:r>
      <w:r w:rsidR="00CB553D">
        <w:t xml:space="preserve">potential </w:t>
      </w:r>
      <w:r>
        <w:t xml:space="preserve">measures of </w:t>
      </w:r>
      <m:oMath>
        <m:r>
          <w:rPr>
            <w:rFonts w:ascii="Cambria Math" w:hAnsi="Cambria Math"/>
          </w:rPr>
          <m:t>PA|SV</m:t>
        </m:r>
      </m:oMath>
      <w:r w:rsidR="007336AA">
        <w:t xml:space="preserve">, </w:t>
      </w:r>
      <w:r>
        <w:t>using the sample plans described in the previous section.</w:t>
      </w:r>
    </w:p>
    <w:p w14:paraId="0FE13EF3" w14:textId="77777777" w:rsidR="00A1530C" w:rsidRDefault="00A1530C" w:rsidP="00A1530C"/>
    <w:p w14:paraId="4F38B86F" w14:textId="77777777" w:rsidR="00A1530C" w:rsidRDefault="00A1530C" w:rsidP="00A1530C">
      <w:pPr>
        <w:pStyle w:val="Heading2"/>
      </w:pPr>
      <w:r>
        <w:t>4.1. Measures of Partisan Gerrymandering</w:t>
      </w:r>
    </w:p>
    <w:p w14:paraId="4E085117" w14:textId="77777777" w:rsidR="00A1530C" w:rsidRDefault="00A1530C" w:rsidP="00A1530C"/>
    <w:p w14:paraId="301BC63C" w14:textId="67FB11AF" w:rsidR="00A1530C" w:rsidRDefault="00A1530C" w:rsidP="00A1530C">
      <w:r>
        <w:t>The first three metrics measure partisan gerrymandering: declination (</w:t>
      </w:r>
      <m:oMath>
        <m:r>
          <w:rPr>
            <w:rFonts w:ascii="Cambria Math" w:hAnsi="Cambria Math"/>
          </w:rPr>
          <m:t>δ</m:t>
        </m:r>
      </m:oMath>
      <w:r>
        <w:t>), lopsided outcomes (</w:t>
      </w:r>
      <m:oMath>
        <m:r>
          <w:rPr>
            <w:rFonts w:ascii="Cambria Math" w:hAnsi="Cambria Math"/>
          </w:rPr>
          <m:t>LO</m:t>
        </m:r>
      </m:oMath>
      <w:r>
        <w:t>), and mean–median (</w:t>
      </w:r>
      <m:oMath>
        <m:r>
          <w:rPr>
            <w:rFonts w:ascii="Cambria Math" w:hAnsi="Cambria Math"/>
          </w:rPr>
          <m:t>MM</m:t>
        </m:r>
      </m:oMath>
      <w:r>
        <w:t xml:space="preserve">). While the packing &amp; cracking that they measure is an interesting quantity, none of them measure a difference in seat shares. Hence, they aren’t measures of </w:t>
      </w:r>
      <m:oMath>
        <m:r>
          <w:rPr>
            <w:rFonts w:ascii="Cambria Math" w:hAnsi="Cambria Math"/>
          </w:rPr>
          <m:t>PA|SV</m:t>
        </m:r>
      </m:oMath>
      <w:r>
        <w:t xml:space="preserve"> as I’ve defined it.</w:t>
      </w:r>
      <w:r>
        <w:rPr>
          <w:rStyle w:val="FootnoteReference"/>
        </w:rPr>
        <w:footnoteReference w:id="44"/>
      </w:r>
      <w:r>
        <w:t xml:space="preserve"> </w:t>
      </w:r>
    </w:p>
    <w:p w14:paraId="3490AE56" w14:textId="77777777" w:rsidR="00A1530C" w:rsidRDefault="00A1530C" w:rsidP="00A1530C"/>
    <w:p w14:paraId="2D7CD81C" w14:textId="77777777" w:rsidR="00A1530C" w:rsidRDefault="00A1530C" w:rsidP="00A1530C">
      <w:r>
        <w:t>These are their detailed definitions.</w:t>
      </w:r>
    </w:p>
    <w:p w14:paraId="297B6CDC" w14:textId="77777777" w:rsidR="00A1530C" w:rsidRDefault="00A1530C" w:rsidP="00A1530C"/>
    <w:p w14:paraId="7F0C00B8" w14:textId="77777777" w:rsidR="00A1530C" w:rsidRDefault="00A1530C" w:rsidP="00A1530C">
      <w:r>
        <w:t xml:space="preserve">Given vote shares by district </w:t>
      </w:r>
      <m:oMath>
        <m:d>
          <m:dPr>
            <m:ctrlPr>
              <w:rPr>
                <w:rFonts w:ascii="Cambria Math" w:hAnsi="Cambria Math"/>
              </w:rPr>
            </m:ctrlPr>
          </m:dPr>
          <m:e>
            <m:r>
              <w:rPr>
                <w:rFonts w:ascii="Cambria Math" w:hAnsi="Cambria Math"/>
              </w:rPr>
              <m:t>v=</m:t>
            </m:r>
            <m:sSub>
              <m:sSubPr>
                <m:ctrlPr>
                  <w:rPr>
                    <w:rFonts w:ascii="Cambria Math" w:hAnsi="Cambria Math"/>
                  </w:rPr>
                </m:ctrlPr>
              </m:sSubPr>
              <m:e>
                <m:r>
                  <w:rPr>
                    <w:rFonts w:ascii="Cambria Math" w:hAnsi="Cambria Math"/>
                  </w:rPr>
                  <m:t>v</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sub>
            </m:sSub>
          </m:e>
        </m:d>
      </m:oMath>
      <w:r>
        <w:t>, d</w:t>
      </w:r>
      <w:r w:rsidRPr="008E2C8E">
        <w:t>eclination (</w:t>
      </w:r>
      <m:oMath>
        <m:r>
          <w:rPr>
            <w:rFonts w:ascii="Cambria Math" w:hAnsi="Cambria Math"/>
          </w:rPr>
          <m:t>δ</m:t>
        </m:r>
      </m:oMath>
      <w:r w:rsidRPr="008E2C8E">
        <w:t>)</w:t>
      </w:r>
      <w:r>
        <w:t xml:space="preserve"> measures a difference in angles:</w:t>
      </w:r>
    </w:p>
    <w:p w14:paraId="0A849A05" w14:textId="77777777" w:rsidR="00A1530C" w:rsidRDefault="00A1530C" w:rsidP="00A1530C"/>
    <w:p w14:paraId="1C155902" w14:textId="77777777" w:rsidR="00A1530C" w:rsidRDefault="00A1530C" w:rsidP="00A1530C">
      <w:pPr>
        <w:pStyle w:val="Equation"/>
      </w:pPr>
      <w:r>
        <w:tab/>
      </w:r>
      <m:oMath>
        <m:r>
          <w:rPr>
            <w:rFonts w:ascii="Cambria Math" w:hAnsi="Cambria Math"/>
          </w:rPr>
          <m:t>left=</m:t>
        </m:r>
        <m:func>
          <m:funcPr>
            <m:ctrlPr>
              <w:rPr>
                <w:rFonts w:ascii="Cambria Math" w:hAnsi="Cambria Math"/>
                <w:i/>
              </w:rPr>
            </m:ctrlPr>
          </m:funcPr>
          <m:fName>
            <m:r>
              <w:rPr>
                <w:rFonts w:ascii="Cambria Math" w:hAnsi="Cambria Math"/>
              </w:rPr>
              <m:t>(</m:t>
            </m:r>
            <m:f>
              <m:fPr>
                <m:ctrlPr>
                  <w:rPr>
                    <w:rFonts w:ascii="Cambria Math" w:hAnsi="Cambria Math"/>
                    <w:i/>
                  </w:rPr>
                </m:ctrlPr>
              </m:fPr>
              <m:num>
                <m:r>
                  <w:rPr>
                    <w:rFonts w:ascii="Cambria Math" w:hAnsi="Cambria Math"/>
                  </w:rPr>
                  <m:t>180</m:t>
                </m:r>
              </m:num>
              <m:den>
                <m:r>
                  <w:rPr>
                    <w:rFonts w:ascii="Cambria Math" w:hAnsi="Cambria Math"/>
                  </w:rPr>
                  <m:t>π</m:t>
                </m:r>
              </m:den>
            </m:f>
            <m:r>
              <w:rPr>
                <w:rFonts w:ascii="Cambria Math" w:hAnsi="Cambria Math"/>
              </w:rPr>
              <m:t>)</m:t>
            </m:r>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)/(0.5-</m:t>
            </m:r>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m:t>
            </m:r>
          </m:e>
        </m:func>
      </m:oMath>
    </w:p>
    <w:p w14:paraId="7A045520" w14:textId="77777777" w:rsidR="00A1530C" w:rsidRDefault="00A1530C" w:rsidP="00A1530C">
      <w:pPr>
        <w:pStyle w:val="Equation"/>
      </w:pPr>
      <w:r>
        <w:tab/>
      </w:r>
      <m:oMath>
        <m:r>
          <w:rPr>
            <w:rFonts w:ascii="Cambria Math" w:hAnsi="Cambria Math"/>
          </w:rPr>
          <m:t>right=(</m:t>
        </m:r>
        <m:f>
          <m:fPr>
            <m:ctrlPr>
              <w:rPr>
                <w:rFonts w:ascii="Cambria Math" w:hAnsi="Cambria Math"/>
                <w:i/>
              </w:rPr>
            </m:ctrlPr>
          </m:fPr>
          <m:num>
            <m:r>
              <w:rPr>
                <w:rFonts w:ascii="Cambria Math" w:hAnsi="Cambria Math"/>
              </w:rPr>
              <m:t>180</m:t>
            </m:r>
          </m:num>
          <m:den>
            <m:r>
              <w:rPr>
                <w:rFonts w:ascii="Cambria Math" w:hAnsi="Cambria Math"/>
              </w:rPr>
              <m:t>π</m:t>
            </m:r>
          </m:den>
        </m:f>
        <m: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fName>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-0.5)</m:t>
            </m:r>
          </m:e>
        </m:func>
      </m:oMath>
    </w:p>
    <w:p w14:paraId="13429DB2" w14:textId="77777777" w:rsidR="00A1530C" w:rsidRDefault="00A1530C" w:rsidP="00A1530C"/>
    <w:p w14:paraId="7DA86CE2" w14:textId="77777777" w:rsidR="00A1530C" w:rsidRPr="00FF669F" w:rsidRDefault="00A1530C" w:rsidP="00A1530C">
      <w:pPr>
        <w:rPr>
          <w:rFonts w:ascii="Cambria Math" w:hAnsi="Cambria Math"/>
        </w:rPr>
      </w:pPr>
      <w:r>
        <w:rPr>
          <w:iCs/>
        </w:rPr>
        <w:tab/>
      </w:r>
      <m:oMath>
        <m:r>
          <w:rPr>
            <w:rFonts w:ascii="Cambria Math" w:hAnsi="Cambria Math"/>
          </w:rPr>
          <m:t>δ</m:t>
        </m:r>
        <m:r>
          <m:rPr>
            <m:sty m:val="p"/>
          </m:rPr>
          <w:rPr>
            <w:rFonts w:ascii="Cambria Math" w:hAnsi="Cambria Math"/>
          </w:rPr>
          <m:t>=</m:t>
        </m:r>
      </m:oMath>
      <w:r>
        <w:t xml:space="preserve"> </w:t>
      </w:r>
      <m:oMath>
        <m:r>
          <w:rPr>
            <w:rFonts w:ascii="Cambria Math" w:hAnsi="Cambria Math"/>
          </w:rPr>
          <m:t>right-left</m:t>
        </m:r>
      </m:oMath>
      <w:r>
        <w:tab/>
        <w:t>(1)</w:t>
      </w:r>
    </w:p>
    <w:p w14:paraId="41661549" w14:textId="77777777" w:rsidR="00A1530C" w:rsidRDefault="00A1530C" w:rsidP="00A1530C">
      <w:r>
        <w:t>where:</w:t>
      </w:r>
    </w:p>
    <w:p w14:paraId="044B5CAD" w14:textId="77777777" w:rsidR="00A1530C" w:rsidRDefault="00A1530C" w:rsidP="00A1530C">
      <w:pPr>
        <w:pStyle w:val="Equation"/>
      </w:pPr>
      <w:r>
        <w:lastRenderedPageBreak/>
        <w:tab/>
      </w:r>
      <m:oMath>
        <m:acc>
          <m:accPr>
            <m:chr m:val="̅"/>
            <m:ctrlPr>
              <w:rPr>
                <w:rFonts w:ascii="Cambria Math" w:hAnsi="Cambria Math"/>
                <w:i/>
              </w:rPr>
            </m:ctrlPr>
          </m:accPr>
          <m:e>
            <m:r>
              <w:rPr>
                <w:rFonts w:ascii="Cambria Math" w:hAnsi="Cambria Math"/>
              </w:rPr>
              <m:t>S</m:t>
            </m:r>
          </m:e>
        </m:acc>
        <m:r>
          <w:rPr>
            <w:rFonts w:ascii="Cambria Math" w:hAnsi="Cambria Math"/>
          </w:rPr>
          <m:t>=</m:t>
        </m:r>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e>
        </m:nary>
      </m:oMath>
    </w:p>
    <w:p w14:paraId="5A2F1371" w14:textId="77777777" w:rsidR="00A1530C" w:rsidRDefault="00A1530C" w:rsidP="00A1530C">
      <w:pPr>
        <w:pStyle w:val="Equation"/>
      </w:pPr>
      <w:r>
        <w:tab/>
      </w:r>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acc>
          <m:accPr>
            <m:chr m:val="̅"/>
            <m:ctrlPr>
              <w:rPr>
                <w:rFonts w:ascii="Cambria Math" w:hAnsi="Cambria Math"/>
                <w:i/>
              </w:rPr>
            </m:ctrlPr>
          </m:accPr>
          <m:e>
            <m:r>
              <w:rPr>
                <w:rFonts w:ascii="Cambria Math" w:hAnsi="Cambria Math"/>
              </w:rPr>
              <m:t>S</m:t>
            </m:r>
          </m:e>
        </m:acc>
        <m:r>
          <w:rPr>
            <w:rFonts w:ascii="Cambria Math" w:hAnsi="Cambria Math"/>
          </w:rPr>
          <m:t>/N</m:t>
        </m:r>
      </m:oMath>
    </w:p>
    <w:p w14:paraId="5B09B189" w14:textId="77777777" w:rsidR="00A1530C" w:rsidRDefault="00A1530C" w:rsidP="00A1530C">
      <w:pPr>
        <w:pStyle w:val="Equation"/>
      </w:pPr>
      <w:r>
        <w:tab/>
      </w: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=(1+</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)/2</m:t>
        </m:r>
      </m:oMath>
    </w:p>
    <w:p w14:paraId="1DECCCA8" w14:textId="77777777" w:rsidR="00A1530C" w:rsidRDefault="00A1530C" w:rsidP="00A1530C">
      <w:pPr>
        <w:pStyle w:val="Equation"/>
      </w:pPr>
      <w:r>
        <w:tab/>
      </w:r>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/2</m:t>
        </m:r>
      </m:oMath>
    </w:p>
    <w:p w14:paraId="2074147C" w14:textId="77777777" w:rsidR="00A1530C" w:rsidRDefault="00A1530C" w:rsidP="00A1530C">
      <w:pPr>
        <w:pStyle w:val="Equation"/>
      </w:pPr>
      <w:r>
        <w:tab/>
      </w:r>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1-v</m:t>
                </m:r>
              </m:e>
            </m:d>
            <m:r>
              <w:rPr>
                <w:rFonts w:ascii="Cambria Math" w:hAnsi="Cambria Math"/>
              </w:rPr>
              <m:t>*</m:t>
            </m:r>
            <m:d>
              <m:dPr>
                <m:ctrlPr>
                  <w:rPr>
                    <w:rFonts w:ascii="Cambria Math" w:hAnsi="Cambria Math"/>
                    <w:i/>
                  </w:rPr>
                </m:ctrlPr>
              </m:dPr>
              <m:e>
                <m:r>
                  <w:rPr>
                    <w:rFonts w:ascii="Cambria Math" w:hAnsi="Cambria Math"/>
                  </w:rPr>
                  <m:t>1-v</m:t>
                </m:r>
              </m:e>
            </m:d>
          </m:e>
        </m:nary>
        <m:r>
          <w:rPr>
            <w:rFonts w:ascii="Cambria Math" w:hAnsi="Cambria Math"/>
          </w:rPr>
          <m:t>)/(N-</m:t>
        </m:r>
        <m:acc>
          <m:accPr>
            <m:chr m:val="̅"/>
            <m:ctrlPr>
              <w:rPr>
                <w:rFonts w:ascii="Cambria Math" w:hAnsi="Cambria Math"/>
                <w:i/>
              </w:rPr>
            </m:ctrlPr>
          </m:accPr>
          <m:e>
            <m:r>
              <w:rPr>
                <w:rFonts w:ascii="Cambria Math" w:hAnsi="Cambria Math"/>
              </w:rPr>
              <m:t>S</m:t>
            </m:r>
          </m:e>
        </m:acc>
        <m:r>
          <w:rPr>
            <w:rFonts w:ascii="Cambria Math" w:hAnsi="Cambria Math"/>
          </w:rPr>
          <m:t>)</m:t>
        </m:r>
      </m:oMath>
    </w:p>
    <w:p w14:paraId="2042AF84" w14:textId="77777777" w:rsidR="00A1530C" w:rsidRDefault="00A1530C" w:rsidP="00A1530C">
      <w:pPr>
        <w:pStyle w:val="Equation"/>
      </w:pPr>
      <w:r>
        <w:tab/>
      </w:r>
      <m:oMath>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=1-(</m:t>
        </m:r>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*v</m:t>
            </m:r>
          </m:e>
        </m:nary>
        <m:r>
          <w:rPr>
            <w:rFonts w:ascii="Cambria Math" w:hAnsi="Cambria Math"/>
          </w:rPr>
          <m:t>)/</m:t>
        </m:r>
        <m:acc>
          <m:accPr>
            <m:chr m:val="̅"/>
            <m:ctrlPr>
              <w:rPr>
                <w:rFonts w:ascii="Cambria Math" w:hAnsi="Cambria Math"/>
                <w:i/>
              </w:rPr>
            </m:ctrlPr>
          </m:accPr>
          <m:e>
            <m:r>
              <w:rPr>
                <w:rFonts w:ascii="Cambria Math" w:hAnsi="Cambria Math"/>
              </w:rPr>
              <m:t>S</m:t>
            </m:r>
          </m:e>
        </m:acc>
      </m:oMath>
    </w:p>
    <w:p w14:paraId="395425F5" w14:textId="77777777" w:rsidR="00A1530C" w:rsidRDefault="00A1530C" w:rsidP="00A1530C">
      <w:pPr>
        <w:pStyle w:val="Equation"/>
      </w:pPr>
      <w:r>
        <w:tab/>
      </w:r>
      <m:oMath>
        <m:r>
          <w:rPr>
            <w:rFonts w:ascii="Cambria Math" w:hAnsi="Cambria Math"/>
          </w:rPr>
          <m:t>p(v)=</m:t>
        </m:r>
      </m:oMath>
      <w:r>
        <w:t xml:space="preserve"> the fractional seat probability for vote share </w:t>
      </w:r>
      <m:oMath>
        <m:r>
          <w:rPr>
            <w:rFonts w:ascii="Cambria Math" w:hAnsi="Cambria Math"/>
          </w:rPr>
          <m:t>v</m:t>
        </m:r>
      </m:oMath>
    </w:p>
    <w:p w14:paraId="6C40FB06" w14:textId="77777777" w:rsidR="00A1530C" w:rsidRDefault="00A1530C" w:rsidP="00A1530C">
      <w:r w:rsidRPr="00711FC7">
        <w:t>Lopsided outcomes (</w:t>
      </w:r>
      <m:oMath>
        <m:r>
          <w:rPr>
            <w:rFonts w:ascii="Cambria Math" w:hAnsi="Cambria Math"/>
          </w:rPr>
          <m:t>LO</m:t>
        </m:r>
      </m:oMath>
      <w:r w:rsidRPr="00711FC7">
        <w:t xml:space="preserve">) </w:t>
      </w:r>
      <w:r>
        <w:t xml:space="preserve">measures a difference in </w:t>
      </w:r>
      <w:r w:rsidRPr="00F00B6B">
        <w:rPr>
          <w:i/>
          <w:iCs/>
        </w:rPr>
        <w:t>vote</w:t>
      </w:r>
      <w:r>
        <w:t xml:space="preserve"> shares:</w:t>
      </w:r>
    </w:p>
    <w:p w14:paraId="13EAF8EA" w14:textId="77777777" w:rsidR="00A1530C" w:rsidRDefault="00A1530C" w:rsidP="00A1530C">
      <w:pPr>
        <w:pStyle w:val="Equation"/>
      </w:pPr>
      <w:r>
        <w:rPr>
          <w:iCs/>
        </w:rPr>
        <w:tab/>
      </w:r>
      <m:oMath>
        <m:r>
          <w:rPr>
            <w:rFonts w:ascii="Cambria Math" w:hAnsi="Cambria Math"/>
          </w:rPr>
          <m:t>LO</m:t>
        </m:r>
        <m:r>
          <m:rPr>
            <m:sty m:val="p"/>
          </m:rPr>
          <w:rPr>
            <w:rFonts w:ascii="Cambria Math" w:hAnsi="Cambria Math"/>
          </w:rPr>
          <m:t>=(0.5-</m:t>
        </m:r>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-0.5)</m:t>
        </m:r>
      </m:oMath>
      <w:r>
        <w:t xml:space="preserve"> </w:t>
      </w:r>
      <w:r>
        <w:tab/>
        <w:t>(2)</w:t>
      </w:r>
    </w:p>
    <w:p w14:paraId="385BD37E" w14:textId="77777777" w:rsidR="00A1530C" w:rsidRDefault="00A1530C" w:rsidP="00A1530C">
      <w:r w:rsidRPr="00115FB6">
        <w:t>Mean–median (</w:t>
      </w:r>
      <m:oMath>
        <m:r>
          <w:rPr>
            <w:rFonts w:ascii="Cambria Math" w:hAnsi="Cambria Math"/>
          </w:rPr>
          <m:t>MM</m:t>
        </m:r>
      </m:oMath>
      <w:r w:rsidRPr="00115FB6">
        <w:t xml:space="preserve">) </w:t>
      </w:r>
      <w:r>
        <w:t>also measures a difference in vote shares:</w:t>
      </w:r>
    </w:p>
    <w:p w14:paraId="35CD623D" w14:textId="77777777" w:rsidR="00A1530C" w:rsidRDefault="00A1530C" w:rsidP="00A1530C">
      <w:pPr>
        <w:pStyle w:val="Equation"/>
      </w:pPr>
      <w:r>
        <w:rPr>
          <w:iCs/>
        </w:rPr>
        <w:tab/>
      </w:r>
      <m:oMath>
        <m:r>
          <w:rPr>
            <w:rFonts w:ascii="Cambria Math" w:hAnsi="Cambria Math"/>
          </w:rPr>
          <m:t>MM</m:t>
        </m:r>
        <m:r>
          <m:rPr>
            <m:sty m:val="p"/>
          </m:rPr>
          <w:rPr>
            <w:rFonts w:ascii="Cambria Math" w:hAnsi="Cambria Math"/>
          </w:rPr>
          <m:t>=mean(</m:t>
        </m:r>
        <m:r>
          <w:rPr>
            <w:rFonts w:ascii="Cambria Math" w:hAnsi="Cambria Math"/>
          </w:rPr>
          <m:t>v)</m:t>
        </m:r>
        <m:r>
          <m:rPr>
            <m:sty m:val="p"/>
          </m:rPr>
          <w:rPr>
            <w:rFonts w:ascii="Cambria Math" w:hAnsi="Cambria Math"/>
          </w:rPr>
          <m:t>-median</m:t>
        </m:r>
        <m:r>
          <w:rPr>
            <w:rFonts w:ascii="Cambria Math" w:hAnsi="Cambria Math"/>
          </w:rPr>
          <m:t>(v)</m:t>
        </m:r>
      </m:oMath>
      <w:r>
        <w:t xml:space="preserve"> </w:t>
      </w:r>
      <w:r>
        <w:tab/>
        <w:t>(3)</w:t>
      </w:r>
    </w:p>
    <w:p w14:paraId="233E935B" w14:textId="7B021786" w:rsidR="00A1530C" w:rsidRDefault="00A1530C" w:rsidP="00A1530C">
      <w:r>
        <w:t xml:space="preserve">These measure partisan gerrymandering via packing &amp; cracking but not </w:t>
      </w:r>
      <m:oMath>
        <m:r>
          <w:rPr>
            <w:rFonts w:ascii="Cambria Math" w:hAnsi="Cambria Math"/>
          </w:rPr>
          <m:t>PA|SV</m:t>
        </m:r>
      </m:oMath>
      <w:r>
        <w:t>.</w:t>
      </w:r>
      <w:r>
        <w:rPr>
          <w:rStyle w:val="FootnoteReference"/>
        </w:rPr>
        <w:footnoteReference w:id="45"/>
      </w:r>
    </w:p>
    <w:p w14:paraId="32A7D1B1" w14:textId="77777777" w:rsidR="00A1530C" w:rsidRDefault="00A1530C" w:rsidP="00A1530C"/>
    <w:p w14:paraId="6B243FA7" w14:textId="77777777" w:rsidR="00A1530C" w:rsidRDefault="00A1530C" w:rsidP="00A1530C">
      <w:pPr>
        <w:pStyle w:val="Heading2"/>
      </w:pPr>
      <w:r>
        <w:t>4.2. Measures of Partisan Symmetry</w:t>
      </w:r>
    </w:p>
    <w:p w14:paraId="68AAC707" w14:textId="77777777" w:rsidR="00A1530C" w:rsidRDefault="00A1530C" w:rsidP="00A1530C"/>
    <w:p w14:paraId="7AA23DF7" w14:textId="465B39FA" w:rsidR="00A1530C" w:rsidRDefault="00A1530C" w:rsidP="00A1530C">
      <w:r>
        <w:t>The next four metrics measure some aspect of a seats–votes curve: s</w:t>
      </w:r>
      <w:r w:rsidRPr="006A01AA">
        <w:t>eats bias (</w:t>
      </w:r>
      <m:oMath>
        <m:sSub>
          <m:sSubPr>
            <m:ctrlPr>
              <w:rPr>
                <w:rFonts w:ascii="Cambria Math" w:hAnsi="Cambria Math"/>
              </w:rPr>
            </m:ctrlPr>
          </m:sSubPr>
          <m:e>
            <m:r>
              <w:rPr>
                <w:rFonts w:ascii="Cambria Math" w:hAnsi="Cambria Math"/>
              </w:rPr>
              <m:t>α</m:t>
            </m:r>
          </m:e>
          <m:sub>
            <m:r>
              <w:rPr>
                <w:rFonts w:ascii="Cambria Math" w:hAnsi="Cambria Math"/>
              </w:rPr>
              <m:t>S</m:t>
            </m:r>
          </m:sub>
        </m:sSub>
      </m:oMath>
      <w:r>
        <w:t>), votes bias (</w:t>
      </w:r>
      <m:oMath>
        <m:sSub>
          <m:sSubPr>
            <m:ctrlPr>
              <w:rPr>
                <w:rFonts w:ascii="Cambria Math" w:hAnsi="Cambria Math"/>
                <w:i/>
              </w:rPr>
            </m:ctrlPr>
          </m:sSubPr>
          <m:e>
            <m:r>
              <w:rPr>
                <w:rFonts w:ascii="Cambria Math" w:hAnsi="Cambria Math"/>
              </w:rPr>
              <m:t>α</m:t>
            </m:r>
          </m:e>
          <m:sub>
            <m:r>
              <w:rPr>
                <w:rFonts w:ascii="Cambria Math" w:hAnsi="Cambria Math"/>
              </w:rPr>
              <m:t>V</m:t>
            </m:r>
          </m:sub>
        </m:sSub>
      </m:oMath>
      <w:r>
        <w:t>), geometric seats bias (</w:t>
      </w:r>
      <m:oMath>
        <m:r>
          <w:rPr>
            <w:rFonts w:ascii="Cambria Math" w:hAnsi="Cambria Math"/>
          </w:rPr>
          <m:t>β</m:t>
        </m:r>
      </m:oMath>
      <w:r>
        <w:t>), and global symmetry (</w:t>
      </w:r>
      <m:oMath>
        <m:r>
          <w:rPr>
            <w:rFonts w:ascii="Cambria Math" w:hAnsi="Cambria Math"/>
          </w:rPr>
          <m:t>GS</m:t>
        </m:r>
      </m:oMath>
      <w:r>
        <w:t xml:space="preserve">). Neither votes bias nor global symmetry measure a difference in seat shares, so again they aren’t measures of </w:t>
      </w:r>
      <m:oMath>
        <m:r>
          <w:rPr>
            <w:rFonts w:ascii="Cambria Math" w:hAnsi="Cambria Math"/>
          </w:rPr>
          <m:t>PA|SV</m:t>
        </m:r>
      </m:oMath>
      <w:r>
        <w:t>.</w:t>
      </w:r>
    </w:p>
    <w:p w14:paraId="3D30388C" w14:textId="77777777" w:rsidR="00A1530C" w:rsidRDefault="00A1530C" w:rsidP="00A1530C"/>
    <w:p w14:paraId="7DF62A99" w14:textId="77777777" w:rsidR="00A1530C" w:rsidRDefault="00A1530C" w:rsidP="00A1530C">
      <w:r>
        <w:t xml:space="preserve">Both seats bias and geometric seats bias </w:t>
      </w:r>
      <w:r w:rsidRPr="007F16EC">
        <w:rPr>
          <w:i/>
          <w:iCs/>
        </w:rPr>
        <w:t>do</w:t>
      </w:r>
      <w:r>
        <w:t xml:space="preserve"> measure differences in seat shares, but they sometimes violate the property that super-proportional outcomes can’t favor the minority party. Among many others, two examples are illustrative: the IL 2012 and the TX 2020 plans shown in Fig. 2 and Fig. 4 above. </w:t>
      </w:r>
    </w:p>
    <w:p w14:paraId="67CD2451" w14:textId="77777777" w:rsidR="00A1530C" w:rsidRDefault="00A1530C" w:rsidP="00A1530C"/>
    <w:p w14:paraId="43F737A1" w14:textId="77777777" w:rsidR="00A1530C" w:rsidRDefault="00A1530C" w:rsidP="00A1530C">
      <w:pPr>
        <w:pStyle w:val="ListParagraph"/>
        <w:numPr>
          <w:ilvl w:val="0"/>
          <w:numId w:val="24"/>
        </w:numPr>
      </w:pPr>
      <w:r>
        <w:t xml:space="preserve">In both cases, seats bias gets confounded because the seats–votes curves pass the center </w:t>
      </w:r>
      <w:r w:rsidRPr="0069208F">
        <w:t>point of symmetry</w:t>
      </w:r>
      <w:r>
        <w:rPr>
          <w:rStyle w:val="FootnoteReference"/>
        </w:rPr>
        <w:footnoteReference w:id="46"/>
      </w:r>
      <w:r w:rsidRPr="0069208F">
        <w:t xml:space="preserve"> </w:t>
      </w:r>
      <w:r>
        <w:t>on one side of</w:t>
      </w:r>
      <w:r w:rsidRPr="0069208F">
        <w:t xml:space="preserve"> </w:t>
      </w:r>
      <w:r>
        <w:t>the</w:t>
      </w:r>
      <w:r w:rsidRPr="0069208F">
        <w:t xml:space="preserve"> line of proportionality</w:t>
      </w:r>
      <w:r>
        <w:rPr>
          <w:rStyle w:val="FootnoteReference"/>
        </w:rPr>
        <w:footnoteReference w:id="47"/>
      </w:r>
      <w:r w:rsidRPr="0069208F">
        <w:t xml:space="preserve"> </w:t>
      </w:r>
      <w:r>
        <w:t xml:space="preserve">before crossing over it and reaching the statewide vote share where one party gets a large majority of the votes and an even bigger share of the seats. </w:t>
      </w:r>
      <w:r>
        <w:br/>
      </w:r>
    </w:p>
    <w:p w14:paraId="7E1DED28" w14:textId="77777777" w:rsidR="00A1530C" w:rsidRDefault="00A1530C" w:rsidP="00A1530C">
      <w:pPr>
        <w:pStyle w:val="ListParagraph"/>
        <w:numPr>
          <w:ilvl w:val="0"/>
          <w:numId w:val="24"/>
        </w:numPr>
      </w:pPr>
      <m:oMath>
        <m:r>
          <w:rPr>
            <w:rFonts w:ascii="Cambria Math" w:hAnsi="Cambria Math"/>
          </w:rPr>
          <m:t>β</m:t>
        </m:r>
      </m:oMath>
      <w:r>
        <w:t xml:space="preserve"> also sends the wrong signal for these two plans, because the vote shares where the counterfactual minority seats–votes curves are evaluated – Republican (red) and </w:t>
      </w:r>
      <w:r>
        <w:lastRenderedPageBreak/>
        <w:t>Democratic (blue), respectively – are well outside the zone of uncertainty around the statewide vote share.</w:t>
      </w:r>
    </w:p>
    <w:p w14:paraId="5D201748" w14:textId="77777777" w:rsidR="00A1530C" w:rsidRDefault="00A1530C" w:rsidP="00A1530C"/>
    <w:p w14:paraId="332A19D2" w14:textId="77777777" w:rsidR="00A1530C" w:rsidRDefault="00A1530C" w:rsidP="00A1530C">
      <w:r>
        <w:t xml:space="preserve">You can think of these failures as indicative of the </w:t>
      </w:r>
      <w:r w:rsidRPr="005A7406">
        <w:rPr>
          <w:i/>
          <w:iCs/>
        </w:rPr>
        <w:t>principle of locality</w:t>
      </w:r>
      <w:r>
        <w:t xml:space="preserve"> in physics.</w:t>
      </w:r>
      <w:r>
        <w:rPr>
          <w:rStyle w:val="FootnoteReference"/>
        </w:rPr>
        <w:footnoteReference w:id="48"/>
      </w:r>
      <w:r>
        <w:t xml:space="preserve"> W</w:t>
      </w:r>
      <w:r w:rsidRPr="00DB4E8C">
        <w:t>hile</w:t>
      </w:r>
      <w:r>
        <w:t xml:space="preserve"> seats–votes</w:t>
      </w:r>
      <w:r w:rsidRPr="00DB4E8C">
        <w:t xml:space="preserve"> curve</w:t>
      </w:r>
      <w:r>
        <w:t>s</w:t>
      </w:r>
      <w:r w:rsidRPr="00DB4E8C">
        <w:t xml:space="preserve"> </w:t>
      </w:r>
      <w:r>
        <w:t xml:space="preserve">show the likely seat share </w:t>
      </w:r>
      <w:r w:rsidRPr="00DB4E8C">
        <w:t xml:space="preserve">over </w:t>
      </w:r>
      <w:r>
        <w:t>all</w:t>
      </w:r>
      <w:r w:rsidRPr="00DB4E8C">
        <w:t xml:space="preserve"> theoretical</w:t>
      </w:r>
      <w:r>
        <w:t>ly possible</w:t>
      </w:r>
      <w:r w:rsidRPr="00DB4E8C">
        <w:t xml:space="preserve"> vote shares</w:t>
      </w:r>
      <w:r>
        <w:t>,</w:t>
      </w:r>
      <w:r>
        <w:rPr>
          <w:rStyle w:val="FootnoteReference"/>
        </w:rPr>
        <w:footnoteReference w:id="49"/>
      </w:r>
      <w:r w:rsidRPr="00DB4E8C">
        <w:t xml:space="preserve"> only a small range</w:t>
      </w:r>
      <w:r>
        <w:t xml:space="preserve"> around the typical statewide vote share are</w:t>
      </w:r>
      <w:r w:rsidRPr="00DB4E8C">
        <w:t xml:space="preserve"> </w:t>
      </w:r>
      <w:r>
        <w:t>likely</w:t>
      </w:r>
      <w:r w:rsidRPr="00DB4E8C">
        <w:t xml:space="preserve"> in practice.</w:t>
      </w:r>
      <w:r>
        <w:rPr>
          <w:rStyle w:val="FootnoteReference"/>
        </w:rPr>
        <w:footnoteReference w:id="50"/>
      </w:r>
      <w:r w:rsidRPr="00DB4E8C">
        <w:t xml:space="preserve"> </w:t>
      </w:r>
      <w:r>
        <w:t>Absent some theory and some empirical evidence to support it, there is no reason to believe that any metric that measures a seats–votes curve far away from the likely statewide vote share measures anything related to partisan advantage close to it.</w:t>
      </w:r>
    </w:p>
    <w:p w14:paraId="712D6002" w14:textId="77777777" w:rsidR="00A1530C" w:rsidRDefault="00A1530C" w:rsidP="00A1530C"/>
    <w:p w14:paraId="74C91AF1" w14:textId="77777777" w:rsidR="00A1530C" w:rsidRDefault="00A1530C" w:rsidP="00A1530C">
      <w:r>
        <w:t>These are their detailed definitions of the partisan symmetry metrics.</w:t>
      </w:r>
    </w:p>
    <w:p w14:paraId="621B973F" w14:textId="77777777" w:rsidR="00A1530C" w:rsidRDefault="00A1530C" w:rsidP="00A1530C"/>
    <w:p w14:paraId="578623ED" w14:textId="77777777" w:rsidR="00A1530C" w:rsidRDefault="00A1530C" w:rsidP="00A1530C">
      <w:r w:rsidRPr="00746877">
        <w:t>Seats bias (</w:t>
      </w:r>
      <m:oMath>
        <m:sSub>
          <m:sSubPr>
            <m:ctrlPr>
              <w:rPr>
                <w:rFonts w:ascii="Cambria Math" w:hAnsi="Cambria Math"/>
              </w:rPr>
            </m:ctrlPr>
          </m:sSubPr>
          <m:e>
            <m:r>
              <w:rPr>
                <w:rFonts w:ascii="Cambria Math" w:hAnsi="Cambria Math"/>
              </w:rPr>
              <m:t>α</m:t>
            </m:r>
          </m:e>
          <m:sub>
            <m:r>
              <w:rPr>
                <w:rFonts w:ascii="Cambria Math" w:hAnsi="Cambria Math"/>
              </w:rPr>
              <m:t>S</m:t>
            </m:r>
          </m:sub>
        </m:sSub>
      </m:oMath>
      <w:r w:rsidRPr="00746877">
        <w:t xml:space="preserve">) </w:t>
      </w:r>
      <w:r>
        <w:t>measures a difference in seat shares:</w:t>
      </w:r>
    </w:p>
    <w:p w14:paraId="501D2558" w14:textId="77777777" w:rsidR="00A1530C" w:rsidRDefault="00A1530C" w:rsidP="00A1530C">
      <w:pPr>
        <w:pStyle w:val="Equation"/>
      </w:pPr>
      <w:r>
        <w:tab/>
      </w:r>
      <m:oMath>
        <m:sSub>
          <m:sSubPr>
            <m:ctrlPr>
              <w:rPr>
                <w:rFonts w:ascii="Cambria Math" w:hAnsi="Cambria Math"/>
              </w:rPr>
            </m:ctrlPr>
          </m:sSubPr>
          <m:e>
            <m:r>
              <w:rPr>
                <w:rFonts w:ascii="Cambria Math" w:hAnsi="Cambria Math"/>
              </w:rPr>
              <m:t>α</m:t>
            </m:r>
          </m:e>
          <m:sub>
            <m:r>
              <w:rPr>
                <w:rFonts w:ascii="Cambria Math" w:hAnsi="Cambria Math"/>
              </w:rPr>
              <m:t>S</m:t>
            </m:r>
          </m:sub>
        </m:sSub>
        <m:r>
          <w:rPr>
            <w:rFonts w:ascii="Cambria Math" w:hAnsi="Cambria Math"/>
          </w:rPr>
          <m:t>=(N/2)-S(0.5)</m:t>
        </m:r>
      </m:oMath>
      <w:r>
        <w:tab/>
        <w:t>(4)</w:t>
      </w:r>
    </w:p>
    <w:p w14:paraId="092E908A" w14:textId="77777777" w:rsidR="00A1530C" w:rsidRDefault="00A1530C" w:rsidP="00A1530C">
      <w:r w:rsidRPr="00746877">
        <w:t>Votes bias (</w:t>
      </w:r>
      <m:oMath>
        <m:sSub>
          <m:sSubPr>
            <m:ctrlPr>
              <w:rPr>
                <w:rFonts w:ascii="Cambria Math" w:hAnsi="Cambria Math"/>
                <w:i/>
              </w:rPr>
            </m:ctrlPr>
          </m:sSubPr>
          <m:e>
            <m:r>
              <w:rPr>
                <w:rFonts w:ascii="Cambria Math" w:hAnsi="Cambria Math"/>
              </w:rPr>
              <m:t>α</m:t>
            </m:r>
          </m:e>
          <m:sub>
            <m:r>
              <w:rPr>
                <w:rFonts w:ascii="Cambria Math" w:hAnsi="Cambria Math"/>
              </w:rPr>
              <m:t>V</m:t>
            </m:r>
          </m:sub>
        </m:sSub>
      </m:oMath>
      <w:r w:rsidRPr="00746877">
        <w:t>)</w:t>
      </w:r>
      <w:r>
        <w:t xml:space="preserve"> measures a difference in vote shares, vote share required to win 50% of the seats, from the inferred seats–votes curve.</w:t>
      </w:r>
    </w:p>
    <w:p w14:paraId="5A6BC35E" w14:textId="77777777" w:rsidR="00A1530C" w:rsidRPr="00A802E4" w:rsidRDefault="00A1530C" w:rsidP="00A1530C"/>
    <w:p w14:paraId="7332C0B1" w14:textId="77777777" w:rsidR="00A1530C" w:rsidRDefault="00A1530C" w:rsidP="00A1530C">
      <w:r w:rsidRPr="00746877">
        <w:t>Geometric seats bias (</w:t>
      </w:r>
      <m:oMath>
        <m:r>
          <w:rPr>
            <w:rFonts w:ascii="Cambria Math" w:hAnsi="Cambria Math"/>
          </w:rPr>
          <m:t>β</m:t>
        </m:r>
      </m:oMath>
      <w:r w:rsidRPr="00746877">
        <w:t>)</w:t>
      </w:r>
      <w:r>
        <w:t xml:space="preserve"> measures a difference in seat shares at the statewide vote share </w:t>
      </w:r>
      <m:oMath>
        <m:acc>
          <m:accPr>
            <m:chr m:val="̅"/>
            <m:ctrlPr>
              <w:rPr>
                <w:rFonts w:ascii="Cambria Math" w:hAnsi="Cambria Math"/>
                <w:i/>
              </w:rPr>
            </m:ctrlPr>
          </m:accPr>
          <m:e>
            <m:r>
              <w:rPr>
                <w:rFonts w:ascii="Cambria Math" w:hAnsi="Cambria Math"/>
              </w:rPr>
              <m:t>V</m:t>
            </m:r>
          </m:e>
        </m:acc>
      </m:oMath>
      <w:r>
        <w:t>:</w:t>
      </w:r>
    </w:p>
    <w:p w14:paraId="7D173471" w14:textId="77777777" w:rsidR="00A1530C" w:rsidRPr="00557A92" w:rsidRDefault="00A1530C" w:rsidP="00A1530C">
      <w:pPr>
        <w:pStyle w:val="Equation"/>
      </w:pPr>
      <w:r>
        <w:tab/>
      </w:r>
      <m:oMath>
        <m:r>
          <w:rPr>
            <w:rFonts w:ascii="Cambria Math" w:hAnsi="Cambria Math"/>
          </w:rPr>
          <m:t>β = 0.5 * (S(1-</m:t>
        </m:r>
        <m:acc>
          <m:accPr>
            <m:chr m:val="̅"/>
            <m:ctrlPr>
              <w:rPr>
                <w:rFonts w:ascii="Cambria Math" w:hAnsi="Cambria Math"/>
                <w:i/>
              </w:rPr>
            </m:ctrlPr>
          </m:accPr>
          <m:e>
            <m:r>
              <w:rPr>
                <w:rFonts w:ascii="Cambria Math" w:hAnsi="Cambria Math"/>
              </w:rPr>
              <m:t>V</m:t>
            </m:r>
          </m:e>
        </m:acc>
        <m:r>
          <w:rPr>
            <w:rFonts w:ascii="Cambria Math" w:hAnsi="Cambria Math"/>
          </w:rPr>
          <m:t>)-S(</m:t>
        </m:r>
        <m:acc>
          <m:accPr>
            <m:chr m:val="̅"/>
            <m:ctrlPr>
              <w:rPr>
                <w:rFonts w:ascii="Cambria Math" w:hAnsi="Cambria Math"/>
                <w:i/>
              </w:rPr>
            </m:ctrlPr>
          </m:accPr>
          <m:e>
            <m:r>
              <w:rPr>
                <w:rFonts w:ascii="Cambria Math" w:hAnsi="Cambria Math"/>
              </w:rPr>
              <m:t>V</m:t>
            </m:r>
          </m:e>
        </m:acc>
        <m:r>
          <w:rPr>
            <w:rFonts w:ascii="Cambria Math" w:hAnsi="Cambria Math"/>
          </w:rPr>
          <m:t>))</m:t>
        </m:r>
      </m:oMath>
      <w:r>
        <w:tab/>
        <w:t>(5)</w:t>
      </w:r>
    </w:p>
    <w:p w14:paraId="7E43D3D9" w14:textId="77777777" w:rsidR="00A1530C" w:rsidRDefault="00A1530C" w:rsidP="00A1530C">
      <w:r w:rsidRPr="00746877">
        <w:t>Global symmetry (</w:t>
      </w:r>
      <m:oMath>
        <m:r>
          <w:rPr>
            <w:rFonts w:ascii="Cambria Math" w:hAnsi="Cambria Math"/>
          </w:rPr>
          <m:t>GS</m:t>
        </m:r>
      </m:oMath>
      <w:r w:rsidRPr="00746877">
        <w:t xml:space="preserve">) </w:t>
      </w:r>
      <w:r>
        <w:t xml:space="preserve">measures </w:t>
      </w:r>
      <w:r w:rsidRPr="004322CA">
        <w:t xml:space="preserve">the area of asymmetry between the </w:t>
      </w:r>
      <w:r>
        <w:t>Democratic (blue) and Republican (red) seats–votes</w:t>
      </w:r>
      <w:r w:rsidRPr="004322CA">
        <w:t xml:space="preserve"> curves</w:t>
      </w:r>
      <w:r>
        <w:t xml:space="preserve"> – basically the geometric seats bias summed over the entire range of vote shares – normalized by the total seats–votes unit square.</w:t>
      </w:r>
    </w:p>
    <w:p w14:paraId="0B233554" w14:textId="77777777" w:rsidR="00A1530C" w:rsidRDefault="00A1530C" w:rsidP="00A1530C"/>
    <w:p w14:paraId="60C196FA" w14:textId="3198FB66" w:rsidR="00A1530C" w:rsidRDefault="00A1530C" w:rsidP="00A1530C">
      <w:pPr>
        <w:pStyle w:val="Heading2"/>
      </w:pPr>
      <w:r>
        <w:t xml:space="preserve">4.3. Measures of </w:t>
      </w:r>
      <w:r w:rsidR="005058E1">
        <w:t xml:space="preserve">Seats–Votes </w:t>
      </w:r>
      <w:r>
        <w:t>Partisan Advantage</w:t>
      </w:r>
    </w:p>
    <w:p w14:paraId="7DC9EF40" w14:textId="77777777" w:rsidR="00A1530C" w:rsidRDefault="00A1530C" w:rsidP="00A1530C"/>
    <w:p w14:paraId="46EC62CF" w14:textId="77777777" w:rsidR="00A1530C" w:rsidRDefault="00A1530C" w:rsidP="00A1530C">
      <w:r>
        <w:t>That last three metrics share a common underlying functional form:</w:t>
      </w:r>
    </w:p>
    <w:p w14:paraId="75978313" w14:textId="77777777" w:rsidR="00A1530C" w:rsidRDefault="00A1530C" w:rsidP="00A1530C">
      <w:pPr>
        <w:pStyle w:val="Equation"/>
      </w:pPr>
      <w:r>
        <w:rPr>
          <w:iCs/>
        </w:rPr>
        <w:tab/>
      </w:r>
      <m:oMath>
        <m:r>
          <w:rPr>
            <w:rFonts w:ascii="Cambria Math" w:hAnsi="Cambria Math"/>
          </w:rPr>
          <m:t>∆S</m:t>
        </m:r>
        <m:r>
          <m:rPr>
            <m:sty m:val="p"/>
          </m:rPr>
          <w:rPr>
            <w:rFonts w:ascii="Cambria Math" w:hAnsi="Cambria Math"/>
          </w:rPr>
          <m:t>=</m:t>
        </m:r>
        <m:r>
          <w:rPr>
            <w:rFonts w:ascii="Cambria Math" w:hAnsi="Cambria Math"/>
          </w:rPr>
          <m:t>m</m:t>
        </m:r>
        <m:r>
          <m:rPr>
            <m:sty m:val="p"/>
          </m:rPr>
          <w:rPr>
            <w:rFonts w:ascii="Cambria Math" w:hAnsi="Cambria Math"/>
          </w:rPr>
          <m:t xml:space="preserve"> </m:t>
        </m:r>
        <m:d>
          <m:dPr>
            <m:ctrlPr>
              <w:rPr>
                <w:rFonts w:ascii="Cambria Math" w:hAnsi="Cambria Math"/>
              </w:rPr>
            </m:ctrlPr>
          </m:dPr>
          <m:e>
            <m:r>
              <w:rPr>
                <w:rFonts w:ascii="Cambria Math" w:hAnsi="Cambria Math"/>
              </w:rPr>
              <m:t>V</m:t>
            </m:r>
            <m:r>
              <m:rPr>
                <m:sty m:val="p"/>
              </m:rPr>
              <w:rPr>
                <w:rFonts w:ascii="Cambria Math" w:hAnsi="Cambria Math"/>
              </w:rPr>
              <m:t>-0.5</m:t>
            </m:r>
          </m:e>
        </m:d>
        <m:r>
          <m:rPr>
            <m:sty m:val="p"/>
          </m:rPr>
          <w:rPr>
            <w:rFonts w:ascii="Cambria Math" w:hAnsi="Cambria Math"/>
          </w:rPr>
          <m:t>-(</m:t>
        </m:r>
        <m:r>
          <w:rPr>
            <w:rFonts w:ascii="Cambria Math" w:hAnsi="Cambria Math"/>
          </w:rPr>
          <m:t>S</m:t>
        </m:r>
        <m:r>
          <m:rPr>
            <m:sty m:val="p"/>
          </m:rPr>
          <w:rPr>
            <w:rFonts w:ascii="Cambria Math" w:hAnsi="Cambria Math"/>
          </w:rPr>
          <m:t>-0.5)</m:t>
        </m:r>
      </m:oMath>
      <w:r>
        <w:t xml:space="preserve"> </w:t>
      </w:r>
      <w:r>
        <w:tab/>
        <w:t>(6)</w:t>
      </w:r>
    </w:p>
    <w:p w14:paraId="508C74F9" w14:textId="6D7D88BE" w:rsidR="00A1530C" w:rsidRDefault="00A1530C" w:rsidP="00A1530C">
      <w:r>
        <w:t xml:space="preserve">where </w:t>
      </w:r>
      <m:oMath>
        <m:r>
          <w:rPr>
            <w:rFonts w:ascii="Cambria Math" w:hAnsi="Cambria Math"/>
          </w:rPr>
          <m:t>m</m:t>
        </m:r>
      </m:oMath>
      <w:r>
        <w:t xml:space="preserve"> is an actual or idealized value of responsiveness (</w:t>
      </w:r>
      <m:oMath>
        <m:r>
          <w:rPr>
            <w:rFonts w:ascii="Cambria Math" w:hAnsi="Cambria Math"/>
          </w:rPr>
          <m:t>r</m:t>
        </m:r>
      </m:oMath>
      <w:r>
        <w:t xml:space="preserve">). They all </w:t>
      </w:r>
      <w:r w:rsidR="002A707F">
        <w:t>yield</w:t>
      </w:r>
      <w:r>
        <w:t xml:space="preserve"> differences in seat shares and – with one slight modification – none violate the principle that super-proportional outcomes can’t favor the minority party.</w:t>
      </w:r>
    </w:p>
    <w:p w14:paraId="37706513" w14:textId="77777777" w:rsidR="00A1530C" w:rsidRDefault="00A1530C" w:rsidP="00A1530C"/>
    <w:p w14:paraId="6DE263F7" w14:textId="77777777" w:rsidR="00A1530C" w:rsidRDefault="00A1530C" w:rsidP="00A1530C">
      <w:r w:rsidRPr="00657D01">
        <w:t>Proportional (</w:t>
      </w:r>
      <m:oMath>
        <m:r>
          <w:rPr>
            <w:rFonts w:ascii="Cambria Math" w:hAnsi="Cambria Math"/>
          </w:rPr>
          <m:t>PR</m:t>
        </m:r>
      </m:oMath>
      <w:r w:rsidRPr="00657D01">
        <w:t xml:space="preserve">) </w:t>
      </w:r>
      <w:r>
        <w:t>measures a difference between the actual (or likely) seat share (</w:t>
      </w:r>
      <m:oMath>
        <m:acc>
          <m:accPr>
            <m:chr m:val="̅"/>
            <m:ctrlPr>
              <w:rPr>
                <w:rFonts w:ascii="Cambria Math" w:hAnsi="Cambria Math"/>
                <w:i/>
              </w:rPr>
            </m:ctrlPr>
          </m:accPr>
          <m:e>
            <m:r>
              <w:rPr>
                <w:rFonts w:ascii="Cambria Math" w:hAnsi="Cambria Math"/>
              </w:rPr>
              <m:t>S</m:t>
            </m:r>
          </m:e>
        </m:acc>
      </m:oMath>
      <w:r>
        <w:t>) and an ideal seat share that matches the statewide vote share (</w:t>
      </w:r>
      <m:oMath>
        <m:acc>
          <m:accPr>
            <m:chr m:val="̅"/>
            <m:ctrlPr>
              <w:rPr>
                <w:rFonts w:ascii="Cambria Math" w:hAnsi="Cambria Math"/>
                <w:i/>
              </w:rPr>
            </m:ctrlPr>
          </m:accPr>
          <m:e>
            <m:r>
              <w:rPr>
                <w:rFonts w:ascii="Cambria Math" w:hAnsi="Cambria Math"/>
              </w:rPr>
              <m:t>V</m:t>
            </m:r>
          </m:e>
        </m:acc>
      </m:oMath>
      <w:r>
        <w:t xml:space="preserve">): </w:t>
      </w:r>
    </w:p>
    <w:p w14:paraId="2121E14F" w14:textId="77777777" w:rsidR="00A1530C" w:rsidRDefault="00A1530C" w:rsidP="00A1530C">
      <w:pPr>
        <w:pStyle w:val="Equation"/>
      </w:pPr>
      <w:r>
        <w:rPr>
          <w:iCs/>
        </w:rPr>
        <w:tab/>
      </w:r>
      <m:oMath>
        <m:r>
          <w:rPr>
            <w:rFonts w:ascii="Cambria Math" w:hAnsi="Cambria Math"/>
          </w:rPr>
          <m:t>PR</m:t>
        </m:r>
        <m:r>
          <m:rPr>
            <m:sty m:val="p"/>
          </m:rPr>
          <w:rPr>
            <w:rFonts w:ascii="Cambria Math" w:hAnsi="Cambria Math"/>
          </w:rPr>
          <m:t>=</m:t>
        </m:r>
        <m:acc>
          <m:accPr>
            <m:chr m:val="̅"/>
            <m:ctrlPr>
              <w:rPr>
                <w:rFonts w:ascii="Cambria Math" w:hAnsi="Cambria Math"/>
                <w:i/>
              </w:rPr>
            </m:ctrlPr>
          </m:accPr>
          <m:e>
            <m:r>
              <w:rPr>
                <w:rFonts w:ascii="Cambria Math" w:hAnsi="Cambria Math"/>
              </w:rPr>
              <m:t>V</m:t>
            </m:r>
          </m:e>
        </m:acc>
        <m:r>
          <m:rPr>
            <m:sty m:val="p"/>
          </m:rPr>
          <w:rPr>
            <w:rFonts w:ascii="Cambria Math" w:hAnsi="Cambria Math"/>
          </w:rPr>
          <m:t>-</m:t>
        </m:r>
        <m:acc>
          <m:accPr>
            <m:chr m:val="̅"/>
            <m:ctrlPr>
              <w:rPr>
                <w:rFonts w:ascii="Cambria Math" w:hAnsi="Cambria Math"/>
                <w:i/>
              </w:rPr>
            </m:ctrlPr>
          </m:accPr>
          <m:e>
            <m:r>
              <w:rPr>
                <w:rFonts w:ascii="Cambria Math" w:hAnsi="Cambria Math"/>
              </w:rPr>
              <m:t>S</m:t>
            </m:r>
          </m:e>
        </m:acc>
      </m:oMath>
      <w:r>
        <w:t xml:space="preserve"> </w:t>
      </w:r>
      <w:r>
        <w:tab/>
        <w:t>(7)</w:t>
      </w:r>
    </w:p>
    <w:p w14:paraId="2BCD60CD" w14:textId="77777777" w:rsidR="00A1530C" w:rsidRDefault="00A1530C" w:rsidP="00A1530C">
      <m:oMath>
        <m:r>
          <w:rPr>
            <w:rFonts w:ascii="Cambria Math" w:hAnsi="Cambria Math"/>
          </w:rPr>
          <m:t>PR</m:t>
        </m:r>
      </m:oMath>
      <w:r>
        <w:t xml:space="preserve"> is zero on the </w:t>
      </w:r>
      <m:oMath>
        <m:r>
          <w:rPr>
            <w:rFonts w:ascii="Cambria Math" w:hAnsi="Cambria Math"/>
          </w:rPr>
          <m:t>45°</m:t>
        </m:r>
      </m:oMath>
      <w:r>
        <w:t xml:space="preserve"> line where </w:t>
      </w:r>
      <m:oMath>
        <m:r>
          <w:rPr>
            <w:rFonts w:ascii="Cambria Math" w:hAnsi="Cambria Math"/>
          </w:rPr>
          <m:t>S=V</m:t>
        </m:r>
      </m:oMath>
      <w:r>
        <w:t>, i.e., a responsiveness (</w:t>
      </w:r>
      <m:oMath>
        <m:r>
          <w:rPr>
            <w:rFonts w:ascii="Cambria Math" w:hAnsi="Cambria Math"/>
          </w:rPr>
          <m:t>r</m:t>
        </m:r>
      </m:oMath>
      <w:r>
        <w:t xml:space="preserve">) of one. </w:t>
      </w:r>
    </w:p>
    <w:p w14:paraId="01076ECB" w14:textId="77777777" w:rsidR="00A1530C" w:rsidRDefault="00A1530C" w:rsidP="00A1530C"/>
    <w:p w14:paraId="15321ED1" w14:textId="2CA96F7D" w:rsidR="00A1530C" w:rsidRDefault="00A1530C" w:rsidP="00A1530C">
      <w:r>
        <w:t xml:space="preserve">In contrast, the </w:t>
      </w:r>
      <w:r w:rsidR="002832DE">
        <w:t xml:space="preserve">simplified form of the </w:t>
      </w:r>
      <w:r>
        <w:t>e</w:t>
      </w:r>
      <w:r w:rsidRPr="00657D01">
        <w:t>fficiency gap (</w:t>
      </w:r>
      <m:oMath>
        <m:r>
          <w:rPr>
            <w:rFonts w:ascii="Cambria Math" w:hAnsi="Cambria Math"/>
          </w:rPr>
          <m:t>EG</m:t>
        </m:r>
      </m:oMath>
      <w:r w:rsidRPr="00657D01">
        <w:t>)</w:t>
      </w:r>
      <w:r>
        <w:t xml:space="preserve"> embodies a constant responsiveness (</w:t>
      </w:r>
      <m:oMath>
        <m:r>
          <w:rPr>
            <w:rFonts w:ascii="Cambria Math" w:hAnsi="Cambria Math"/>
          </w:rPr>
          <m:t>r</m:t>
        </m:r>
      </m:oMath>
      <w:r>
        <w:t>) of two:</w:t>
      </w:r>
    </w:p>
    <w:p w14:paraId="3ED4ECD4" w14:textId="77777777" w:rsidR="00A1530C" w:rsidRDefault="00A1530C" w:rsidP="00A1530C">
      <w:pPr>
        <w:pStyle w:val="Equation"/>
      </w:pPr>
      <w:r>
        <w:rPr>
          <w:iCs/>
        </w:rPr>
        <w:tab/>
      </w:r>
      <m:oMath>
        <m:r>
          <w:rPr>
            <w:rFonts w:ascii="Cambria Math" w:hAnsi="Cambria Math"/>
          </w:rPr>
          <m:t>EG</m:t>
        </m:r>
        <m:r>
          <m:rPr>
            <m:sty m:val="p"/>
          </m:rPr>
          <w:rPr>
            <w:rFonts w:ascii="Cambria Math" w:hAnsi="Cambria Math"/>
          </w:rPr>
          <m:t>=</m:t>
        </m:r>
        <m:r>
          <w:rPr>
            <w:rFonts w:ascii="Cambria Math" w:hAnsi="Cambria Math"/>
          </w:rPr>
          <m:t>2</m:t>
        </m:r>
        <m:r>
          <m:rPr>
            <m:sty m:val="p"/>
          </m:rPr>
          <w:rPr>
            <w:rFonts w:ascii="Cambria Math" w:hAnsi="Cambria Math"/>
          </w:rPr>
          <m:t xml:space="preserve"> </m:t>
        </m:r>
        <m:d>
          <m:dPr>
            <m:ctrlPr>
              <w:rPr>
                <w:rFonts w:ascii="Cambria Math" w:hAnsi="Cambria Math"/>
              </w:rPr>
            </m:ctrlPr>
          </m:dPr>
          <m:e>
            <m:acc>
              <m:accPr>
                <m:chr m:val="̅"/>
                <m:ctrlPr>
                  <w:rPr>
                    <w:rFonts w:ascii="Cambria Math" w:hAnsi="Cambria Math"/>
                    <w:i/>
                  </w:rPr>
                </m:ctrlPr>
              </m:accPr>
              <m:e>
                <m:r>
                  <w:rPr>
                    <w:rFonts w:ascii="Cambria Math" w:hAnsi="Cambria Math"/>
                  </w:rPr>
                  <m:t>V</m:t>
                </m:r>
              </m:e>
            </m:acc>
            <m:r>
              <m:rPr>
                <m:sty m:val="p"/>
              </m:rPr>
              <w:rPr>
                <w:rFonts w:ascii="Cambria Math" w:hAnsi="Cambria Math"/>
              </w:rPr>
              <m:t>-0.5</m:t>
            </m:r>
          </m:e>
        </m:d>
        <m:r>
          <m:rPr>
            <m:sty m:val="p"/>
          </m:rPr>
          <w:rPr>
            <w:rFonts w:ascii="Cambria Math" w:hAnsi="Cambria Math"/>
          </w:rPr>
          <m:t>-(</m:t>
        </m:r>
        <m:acc>
          <m:accPr>
            <m:chr m:val="̅"/>
            <m:ctrlPr>
              <w:rPr>
                <w:rFonts w:ascii="Cambria Math" w:hAnsi="Cambria Math"/>
                <w:i/>
              </w:rPr>
            </m:ctrlPr>
          </m:accPr>
          <m:e>
            <m:r>
              <w:rPr>
                <w:rFonts w:ascii="Cambria Math" w:hAnsi="Cambria Math"/>
              </w:rPr>
              <m:t>S</m:t>
            </m:r>
          </m:e>
        </m:acc>
        <m:r>
          <m:rPr>
            <m:sty m:val="p"/>
          </m:rPr>
          <w:rPr>
            <w:rFonts w:ascii="Cambria Math" w:hAnsi="Cambria Math"/>
          </w:rPr>
          <m:t>-0.5)</m:t>
        </m:r>
      </m:oMath>
      <w:r>
        <w:t xml:space="preserve"> </w:t>
      </w:r>
      <w:r>
        <w:tab/>
        <w:t>(8)</w:t>
      </w:r>
    </w:p>
    <w:p w14:paraId="098E4923" w14:textId="1C5E4B4F" w:rsidR="00A1530C" w:rsidRDefault="00A1530C" w:rsidP="00A1530C">
      <w:r>
        <w:t xml:space="preserve">The </w:t>
      </w:r>
      <m:oMath>
        <m:r>
          <w:rPr>
            <w:rFonts w:ascii="Cambria Math" w:hAnsi="Cambria Math"/>
          </w:rPr>
          <m:t>EG</m:t>
        </m:r>
      </m:oMath>
      <w:r>
        <w:t xml:space="preserve"> measurements for both CO plans are highlighted in Tables 1 &amp; 2, as is the </w:t>
      </w:r>
      <m:oMath>
        <m:r>
          <w:rPr>
            <w:rFonts w:ascii="Cambria Math" w:hAnsi="Cambria Math"/>
          </w:rPr>
          <m:t>EG</m:t>
        </m:r>
      </m:oMath>
      <w:r>
        <w:t xml:space="preserve"> value for the 1-proportionality hypothetical plan in Table 3. Here’s why</w:t>
      </w:r>
      <w:r w:rsidR="002832DE">
        <w:t>:</w:t>
      </w:r>
    </w:p>
    <w:p w14:paraId="329883DB" w14:textId="77777777" w:rsidR="00A1530C" w:rsidRDefault="00A1530C" w:rsidP="00A1530C"/>
    <w:p w14:paraId="20072E9E" w14:textId="77777777" w:rsidR="00A1530C" w:rsidRDefault="00A1530C" w:rsidP="00A1530C">
      <w:r>
        <w:t xml:space="preserve">The dashed 2-proportionality line in Fig. 1 is where </w:t>
      </w:r>
      <m:oMath>
        <m:r>
          <w:rPr>
            <w:rFonts w:ascii="Cambria Math" w:hAnsi="Cambria Math"/>
          </w:rPr>
          <m:t>EG=0</m:t>
        </m:r>
      </m:oMath>
      <w:r>
        <w:t xml:space="preserve">. Above that line, </w:t>
      </w:r>
      <m:oMath>
        <m:r>
          <w:rPr>
            <w:rFonts w:ascii="Cambria Math" w:hAnsi="Cambria Math"/>
          </w:rPr>
          <m:t>EG</m:t>
        </m:r>
      </m:oMath>
      <w:r>
        <w:t xml:space="preserve"> values are negative (indicating Democratic bias), and below that line they are positive (indicating Republican bias). But the </w:t>
      </w:r>
      <m:oMath>
        <m:r>
          <w:rPr>
            <w:rFonts w:ascii="Cambria Math" w:hAnsi="Cambria Math"/>
          </w:rPr>
          <m:t>EG</m:t>
        </m:r>
      </m:oMath>
      <w:r>
        <w:t xml:space="preserve"> formula formalizes the notion that a two-times winner’s bonus is acceptable, so to say that a point just below the 2-proportionality line immediately favors Republicans is to, in some sense, to contradict the essential </w:t>
      </w:r>
      <m:oMath>
        <m:r>
          <w:rPr>
            <w:rFonts w:ascii="Cambria Math" w:hAnsi="Cambria Math"/>
          </w:rPr>
          <m:t>EG</m:t>
        </m:r>
      </m:oMath>
      <w:r>
        <w:t xml:space="preserve"> framework. Hence, I argue that when the winner’s bonus (R) is between one and two inclusive</w:t>
      </w:r>
      <w:r w:rsidRPr="00BD3512">
        <w:t xml:space="preserve"> </w:t>
      </w:r>
      <w:r>
        <w:t>– in the white regions in Fig. 1 – a</w:t>
      </w:r>
      <w:r w:rsidRPr="00BD3512">
        <w:t xml:space="preserve"> map is not biased </w:t>
      </w:r>
      <w:r>
        <w:rPr>
          <w:i/>
          <w:iCs/>
        </w:rPr>
        <w:t>with respect to</w:t>
      </w:r>
      <w:r w:rsidRPr="00BD3512">
        <w:rPr>
          <w:i/>
          <w:iCs/>
        </w:rPr>
        <w:t xml:space="preserve"> the efficiency gap ideal</w:t>
      </w:r>
      <w:r>
        <w:rPr>
          <w:i/>
          <w:iCs/>
        </w:rPr>
        <w:t>.</w:t>
      </w:r>
      <w:r>
        <w:t xml:space="preserve"> I highlight these values to show this.</w:t>
      </w:r>
    </w:p>
    <w:p w14:paraId="4E9436DE" w14:textId="77777777" w:rsidR="00A1530C" w:rsidRDefault="00A1530C" w:rsidP="00A1530C"/>
    <w:p w14:paraId="2709C9D4" w14:textId="77777777" w:rsidR="00A1530C" w:rsidRDefault="00A1530C" w:rsidP="00A1530C">
      <w:r>
        <w:t>You can see an example of this in the CO 2012 plan shown in Fig. 3.</w:t>
      </w:r>
    </w:p>
    <w:p w14:paraId="3D908210" w14:textId="77777777" w:rsidR="00A1530C" w:rsidRDefault="00A1530C" w:rsidP="00A1530C"/>
    <w:p w14:paraId="6BDA748E" w14:textId="24503E1A" w:rsidR="00A1530C" w:rsidRDefault="00A1530C" w:rsidP="00A1530C">
      <w:r>
        <w:t>The</w:t>
      </w:r>
      <w:r w:rsidR="00BC4C64">
        <w:t xml:space="preserve"> simplified</w:t>
      </w:r>
      <w:r>
        <w:t xml:space="preserve"> </w:t>
      </w:r>
      <m:oMath>
        <m:r>
          <w:rPr>
            <w:rFonts w:ascii="Cambria Math" w:hAnsi="Cambria Math"/>
          </w:rPr>
          <m:t>EG</m:t>
        </m:r>
      </m:oMath>
      <w:r>
        <w:t xml:space="preserve"> thus modified (or interpreted) is a valid measure of </w:t>
      </w:r>
      <m:oMath>
        <m:r>
          <w:rPr>
            <w:rFonts w:ascii="Cambria Math" w:hAnsi="Cambria Math"/>
          </w:rPr>
          <m:t>PA|SV</m:t>
        </m:r>
      </m:oMath>
      <w:r>
        <w:t>.</w:t>
      </w:r>
    </w:p>
    <w:p w14:paraId="36B65623" w14:textId="77777777" w:rsidR="00A1530C" w:rsidRDefault="00A1530C" w:rsidP="00A1530C"/>
    <w:p w14:paraId="0C133B95" w14:textId="77777777" w:rsidR="00A1530C" w:rsidRPr="00D951A7" w:rsidRDefault="00A1530C" w:rsidP="00A1530C">
      <w:r>
        <w:t>Finally, the g</w:t>
      </w:r>
      <w:r w:rsidRPr="00657D01">
        <w:t>amma (</w:t>
      </w:r>
      <m:oMath>
        <m:r>
          <w:rPr>
            <w:rFonts w:ascii="Cambria Math" w:hAnsi="Cambria Math"/>
          </w:rPr>
          <m:t>γ</m:t>
        </m:r>
      </m:oMath>
      <w:r w:rsidRPr="00657D01">
        <w:t>)</w:t>
      </w:r>
      <w:r>
        <w:t xml:space="preserve"> metric</w:t>
      </w:r>
      <w:r w:rsidRPr="00657D01">
        <w:t xml:space="preserve"> </w:t>
      </w:r>
      <w:r>
        <w:t>uses the responsiveness (</w:t>
      </w:r>
      <m:oMath>
        <m:r>
          <w:rPr>
            <w:rFonts w:ascii="Cambria Math" w:hAnsi="Cambria Math"/>
          </w:rPr>
          <m:t>r</m:t>
        </m:r>
      </m:oMath>
      <w:r>
        <w:t>) measured at the statewide vote share:</w:t>
      </w:r>
    </w:p>
    <w:p w14:paraId="58E185D0" w14:textId="77777777" w:rsidR="00A1530C" w:rsidRDefault="00A1530C" w:rsidP="00A1530C">
      <w:pPr>
        <w:pStyle w:val="Equation"/>
      </w:pPr>
      <w:r>
        <w:rPr>
          <w:iCs/>
        </w:rPr>
        <w:tab/>
      </w:r>
      <m:oMath>
        <m:r>
          <w:rPr>
            <w:rFonts w:ascii="Cambria Math" w:hAnsi="Cambria Math"/>
          </w:rPr>
          <m:t>γ</m:t>
        </m:r>
        <m:r>
          <m:rPr>
            <m:sty m:val="p"/>
          </m:rPr>
          <w:rPr>
            <w:rFonts w:ascii="Cambria Math" w:hAnsi="Cambria Math"/>
          </w:rPr>
          <m:t>=</m:t>
        </m:r>
        <m:r>
          <w:rPr>
            <w:rFonts w:ascii="Cambria Math" w:hAnsi="Cambria Math"/>
          </w:rPr>
          <m:t>r</m:t>
        </m:r>
        <m:r>
          <m:rPr>
            <m:sty m:val="p"/>
          </m:rPr>
          <w:rPr>
            <w:rFonts w:ascii="Cambria Math" w:hAnsi="Cambria Math"/>
          </w:rPr>
          <m:t xml:space="preserve"> </m:t>
        </m:r>
        <m:d>
          <m:dPr>
            <m:ctrlPr>
              <w:rPr>
                <w:rFonts w:ascii="Cambria Math" w:hAnsi="Cambria Math"/>
              </w:rPr>
            </m:ctrlPr>
          </m:dPr>
          <m:e>
            <m:acc>
              <m:accPr>
                <m:chr m:val="̅"/>
                <m:ctrlPr>
                  <w:rPr>
                    <w:rFonts w:ascii="Cambria Math" w:hAnsi="Cambria Math"/>
                    <w:i/>
                  </w:rPr>
                </m:ctrlPr>
              </m:accPr>
              <m:e>
                <m:r>
                  <w:rPr>
                    <w:rFonts w:ascii="Cambria Math" w:hAnsi="Cambria Math"/>
                  </w:rPr>
                  <m:t>V</m:t>
                </m:r>
              </m:e>
            </m:acc>
            <m:r>
              <m:rPr>
                <m:sty m:val="p"/>
              </m:rPr>
              <w:rPr>
                <w:rFonts w:ascii="Cambria Math" w:hAnsi="Cambria Math"/>
              </w:rPr>
              <m:t>-0.5</m:t>
            </m:r>
          </m:e>
        </m:d>
        <m:r>
          <m:rPr>
            <m:sty m:val="p"/>
          </m:rPr>
          <w:rPr>
            <w:rFonts w:ascii="Cambria Math" w:hAnsi="Cambria Math"/>
          </w:rPr>
          <m:t>-(</m:t>
        </m:r>
        <m:acc>
          <m:accPr>
            <m:chr m:val="̅"/>
            <m:ctrlPr>
              <w:rPr>
                <w:rFonts w:ascii="Cambria Math" w:hAnsi="Cambria Math"/>
                <w:i/>
              </w:rPr>
            </m:ctrlPr>
          </m:accPr>
          <m:e>
            <m:r>
              <w:rPr>
                <w:rFonts w:ascii="Cambria Math" w:hAnsi="Cambria Math"/>
              </w:rPr>
              <m:t>S</m:t>
            </m:r>
          </m:e>
        </m:acc>
        <m:r>
          <m:rPr>
            <m:sty m:val="p"/>
          </m:rPr>
          <w:rPr>
            <w:rFonts w:ascii="Cambria Math" w:hAnsi="Cambria Math"/>
          </w:rPr>
          <m:t>-0.5)</m:t>
        </m:r>
      </m:oMath>
      <w:r>
        <w:t xml:space="preserve"> </w:t>
      </w:r>
      <w:r>
        <w:tab/>
        <w:t>(9)</w:t>
      </w:r>
    </w:p>
    <w:p w14:paraId="5ED76FBA" w14:textId="77777777" w:rsidR="00A1530C" w:rsidRDefault="00A1530C" w:rsidP="00A1530C">
      <w:r>
        <w:t xml:space="preserve">The base formula has the analogous “doesn’t acknowledge acceptable bias” issue as </w:t>
      </w:r>
      <m:oMath>
        <m:r>
          <w:rPr>
            <w:rFonts w:ascii="Cambria Math" w:hAnsi="Cambria Math"/>
          </w:rPr>
          <m:t>EG</m:t>
        </m:r>
      </m:oMath>
      <w:r>
        <w:t>, when the responsiveness (</w:t>
      </w:r>
      <m:oMath>
        <m:r>
          <w:rPr>
            <w:rFonts w:ascii="Cambria Math" w:hAnsi="Cambria Math"/>
          </w:rPr>
          <m:t>r</m:t>
        </m:r>
      </m:oMath>
      <w:r>
        <w:t>) is very high. The IL and CO 2012 and IL and TX 2020 plans are examples which is why those values are highlighted.</w:t>
      </w:r>
    </w:p>
    <w:p w14:paraId="09E61362" w14:textId="77777777" w:rsidR="00A1530C" w:rsidRDefault="00A1530C" w:rsidP="00A1530C"/>
    <w:p w14:paraId="5A823DCA" w14:textId="62C4102B" w:rsidR="00A1530C" w:rsidRDefault="00A1530C" w:rsidP="00A1530C">
      <w:r>
        <w:t xml:space="preserve">Technically, an appropriately interpreted </w:t>
      </w:r>
      <m:oMath>
        <m:r>
          <w:rPr>
            <w:rFonts w:ascii="Cambria Math" w:hAnsi="Cambria Math"/>
          </w:rPr>
          <m:t>γ</m:t>
        </m:r>
      </m:oMath>
      <w:r>
        <w:t xml:space="preserve"> would also be a valid measure of </w:t>
      </w:r>
      <m:oMath>
        <m:r>
          <w:rPr>
            <w:rFonts w:ascii="Cambria Math" w:hAnsi="Cambria Math"/>
          </w:rPr>
          <m:t>PA|SV</m:t>
        </m:r>
      </m:oMath>
      <w:r>
        <w:t>, but when the measured responsiveness (</w:t>
      </w:r>
      <m:oMath>
        <m:r>
          <w:rPr>
            <w:rFonts w:ascii="Cambria Math" w:hAnsi="Cambria Math"/>
          </w:rPr>
          <m:t>r</m:t>
        </m:r>
      </m:oMath>
      <w:r>
        <w:t>) is big almost no plan can be judged as favoring the majority party.</w:t>
      </w:r>
    </w:p>
    <w:p w14:paraId="670FD114" w14:textId="535FA408" w:rsidR="0048681A" w:rsidRDefault="0048681A" w:rsidP="0001675E"/>
    <w:p w14:paraId="131803DE" w14:textId="77777777" w:rsidR="00455B4C" w:rsidRPr="00614413" w:rsidRDefault="00455B4C" w:rsidP="00455B4C">
      <w:pPr>
        <w:rPr>
          <w:b/>
          <w:bCs/>
        </w:rPr>
      </w:pPr>
      <w:r>
        <w:rPr>
          <w:rStyle w:val="Heading1Char"/>
        </w:rPr>
        <w:t>5. Increasing Robustness</w:t>
      </w:r>
    </w:p>
    <w:p w14:paraId="1B590FF3" w14:textId="77777777" w:rsidR="00455B4C" w:rsidRDefault="00455B4C" w:rsidP="00455B4C"/>
    <w:p w14:paraId="42C5AEE0" w14:textId="35406AEE" w:rsidR="00455B4C" w:rsidRDefault="00455B4C" w:rsidP="00455B4C">
      <w:r>
        <w:t xml:space="preserve">There are two ways that a </w:t>
      </w:r>
      <w:r w:rsidR="00D81058">
        <w:t xml:space="preserve">valid </w:t>
      </w:r>
      <w:r>
        <w:t xml:space="preserve">measure of </w:t>
      </w:r>
      <m:oMath>
        <m:r>
          <w:rPr>
            <w:rFonts w:ascii="Cambria Math" w:hAnsi="Cambria Math"/>
          </w:rPr>
          <m:t>PA|SV</m:t>
        </m:r>
      </m:oMath>
      <w:r>
        <w:t xml:space="preserve"> can be made more robust. One is to incorporate the fact that seats are won in their entirety and the other is to evaluate the measure over </w:t>
      </w:r>
      <w:r w:rsidRPr="0024034C">
        <w:t>a local range that brackets the likely statewide vote share</w:t>
      </w:r>
      <w:r>
        <w:t xml:space="preserve"> instead of at just that one point. I illustrate both with the proportionality measure of bias (</w:t>
      </w:r>
      <m:oMath>
        <m:r>
          <w:rPr>
            <w:rFonts w:ascii="Cambria Math" w:hAnsi="Cambria Math"/>
          </w:rPr>
          <m:t>PR</m:t>
        </m:r>
      </m:oMath>
      <w:r>
        <w:t>).</w:t>
      </w:r>
    </w:p>
    <w:p w14:paraId="34D299CC" w14:textId="77777777" w:rsidR="00455B4C" w:rsidRDefault="00455B4C" w:rsidP="00455B4C"/>
    <w:p w14:paraId="0E62F975" w14:textId="77777777" w:rsidR="00455B4C" w:rsidRDefault="00455B4C" w:rsidP="00CB4A5F">
      <w:pPr>
        <w:pStyle w:val="Heading2"/>
      </w:pPr>
      <w:r>
        <w:t>5.1. Using the Number of Seats Closest to Proportional</w:t>
      </w:r>
    </w:p>
    <w:p w14:paraId="0608C8E3" w14:textId="77777777" w:rsidR="00455B4C" w:rsidRDefault="00455B4C" w:rsidP="00CB4A5F">
      <w:pPr>
        <w:keepNext/>
      </w:pPr>
    </w:p>
    <w:p w14:paraId="1A0F559A" w14:textId="77777777" w:rsidR="00455B4C" w:rsidRDefault="00455B4C" w:rsidP="00455B4C">
      <m:oMath>
        <m:r>
          <w:rPr>
            <w:rFonts w:ascii="Cambria Math" w:hAnsi="Cambria Math"/>
          </w:rPr>
          <m:t>PR</m:t>
        </m:r>
      </m:oMath>
      <w:r>
        <w:t xml:space="preserve"> compares the likely </w:t>
      </w:r>
      <w:r w:rsidRPr="00A61E5F">
        <w:rPr>
          <w:i/>
          <w:iCs/>
        </w:rPr>
        <w:t>fractional</w:t>
      </w:r>
      <w:r>
        <w:t xml:space="preserve"> </w:t>
      </w:r>
      <w:r w:rsidRPr="00A61E5F">
        <w:t>seat</w:t>
      </w:r>
      <w:r>
        <w:t xml:space="preserve"> share (</w:t>
      </w:r>
      <m:oMath>
        <m:acc>
          <m:accPr>
            <m:chr m:val="̅"/>
            <m:ctrlPr>
              <w:rPr>
                <w:rFonts w:ascii="Cambria Math" w:hAnsi="Cambria Math"/>
                <w:i/>
              </w:rPr>
            </m:ctrlPr>
          </m:accPr>
          <m:e>
            <m:r>
              <w:rPr>
                <w:rFonts w:ascii="Cambria Math" w:hAnsi="Cambria Math"/>
              </w:rPr>
              <m:t>S</m:t>
            </m:r>
          </m:e>
        </m:acc>
      </m:oMath>
      <w:r>
        <w:t>) to the likely statewide vote share (</w:t>
      </w:r>
      <m:oMath>
        <m:acc>
          <m:accPr>
            <m:chr m:val="̅"/>
            <m:ctrlPr>
              <w:rPr>
                <w:rFonts w:ascii="Cambria Math" w:hAnsi="Cambria Math"/>
                <w:i/>
              </w:rPr>
            </m:ctrlPr>
          </m:accPr>
          <m:e>
            <m:r>
              <w:rPr>
                <w:rFonts w:ascii="Cambria Math" w:hAnsi="Cambria Math"/>
              </w:rPr>
              <m:t>V</m:t>
            </m:r>
          </m:e>
        </m:acc>
      </m:oMath>
      <w:r>
        <w:t xml:space="preserve">). But you can’t win part of a seat: seats are won all or nothing. A more practical measure I label </w:t>
      </w:r>
      <m:oMath>
        <m:r>
          <w:rPr>
            <w:rFonts w:ascii="Cambria Math" w:hAnsi="Cambria Math"/>
          </w:rPr>
          <m:t>B%</m:t>
        </m:r>
      </m:oMath>
      <w:r>
        <w:t xml:space="preserve"> </w:t>
      </w:r>
      <w:r>
        <w:lastRenderedPageBreak/>
        <w:t xml:space="preserve">recognizes that the proportional ideal is better represented as a step function rather than the </w:t>
      </w:r>
      <m:oMath>
        <m:r>
          <w:rPr>
            <w:rFonts w:ascii="Cambria Math" w:hAnsi="Cambria Math"/>
          </w:rPr>
          <m:t>45°</m:t>
        </m:r>
      </m:oMath>
      <w:r>
        <w:t xml:space="preserve"> line </w:t>
      </w:r>
      <m:oMath>
        <m:r>
          <w:rPr>
            <w:rFonts w:ascii="Cambria Math" w:hAnsi="Cambria Math"/>
          </w:rPr>
          <m:t>S=V</m:t>
        </m:r>
      </m:oMath>
      <w:r>
        <w:t xml:space="preserve"> and estimates disproportionality relative to the whole number of seats closest to proportional at the statewide vote share.</w:t>
      </w:r>
      <w:r>
        <w:rPr>
          <w:rStyle w:val="FootnoteReference"/>
        </w:rPr>
        <w:footnoteReference w:id="51"/>
      </w:r>
      <w:r>
        <w:t xml:space="preserve"> </w:t>
      </w:r>
    </w:p>
    <w:p w14:paraId="5953C412" w14:textId="77777777" w:rsidR="00455B4C" w:rsidRDefault="00455B4C" w:rsidP="00455B4C"/>
    <w:p w14:paraId="7D95B92E" w14:textId="77777777" w:rsidR="00455B4C" w:rsidRPr="005C1642" w:rsidRDefault="00455B4C" w:rsidP="00455B4C">
      <w:r>
        <w:t xml:space="preserve">Simple </w:t>
      </w:r>
      <m:oMath>
        <m:r>
          <w:rPr>
            <w:rFonts w:ascii="Cambria Math" w:hAnsi="Cambria Math"/>
          </w:rPr>
          <m:t>PR</m:t>
        </m:r>
      </m:oMath>
      <w:r>
        <w:t xml:space="preserve"> generally tracks </w:t>
      </w:r>
      <m:oMath>
        <m:r>
          <w:rPr>
            <w:rFonts w:ascii="Cambria Math" w:hAnsi="Cambria Math"/>
          </w:rPr>
          <m:t>B%</m:t>
        </m:r>
      </m:oMath>
      <w:r>
        <w:t xml:space="preserve">, but there are times when they can diverge somewhat, e.g., both Colorado plans – where B% reports 6.4% and -1.6% deviations instead of -0.2% and -4.2%, respectively – and the North Carolina and Pennsylvania 2020 plans – where B% reports 4.8% and 4.5% deviations instead of 8.1% and 1.7%, respectively. </w:t>
      </w:r>
    </w:p>
    <w:p w14:paraId="73EE2753" w14:textId="77777777" w:rsidR="00455B4C" w:rsidRDefault="00455B4C" w:rsidP="00455B4C"/>
    <w:p w14:paraId="126780AF" w14:textId="77777777" w:rsidR="00455B4C" w:rsidRDefault="00455B4C" w:rsidP="00455B4C">
      <w:pPr>
        <w:pStyle w:val="Heading2"/>
      </w:pPr>
      <w:r>
        <w:t>5.2. Evaluating Over a Range Instead of at a Single Point</w:t>
      </w:r>
    </w:p>
    <w:p w14:paraId="27C071D9" w14:textId="77777777" w:rsidR="00455B4C" w:rsidRDefault="00455B4C" w:rsidP="00455B4C"/>
    <w:p w14:paraId="1CDC551F" w14:textId="77777777" w:rsidR="00455B4C" w:rsidRDefault="00455B4C" w:rsidP="00455B4C">
      <w:r>
        <w:t>Proportionality (</w:t>
      </w:r>
      <m:oMath>
        <m:r>
          <w:rPr>
            <w:rFonts w:ascii="Cambria Math" w:hAnsi="Cambria Math"/>
          </w:rPr>
          <m:t>PR</m:t>
        </m:r>
      </m:oMath>
      <w:r>
        <w:t>) is evaluated at a single point: the likely statewide vote share (</w:t>
      </w:r>
      <m:oMath>
        <m:acc>
          <m:accPr>
            <m:chr m:val="̅"/>
            <m:ctrlPr>
              <w:rPr>
                <w:rFonts w:ascii="Cambria Math" w:hAnsi="Cambria Math"/>
                <w:i/>
              </w:rPr>
            </m:ctrlPr>
          </m:accPr>
          <m:e>
            <m:r>
              <w:rPr>
                <w:rFonts w:ascii="Cambria Math" w:hAnsi="Cambria Math"/>
              </w:rPr>
              <m:t>V</m:t>
            </m:r>
          </m:e>
        </m:acc>
      </m:oMath>
      <w:r>
        <w:t xml:space="preserve">). But the statewide vote share is an </w:t>
      </w:r>
      <w:r w:rsidRPr="005C0BE6">
        <w:rPr>
          <w:i/>
          <w:iCs/>
        </w:rPr>
        <w:t>estimate</w:t>
      </w:r>
      <w:r>
        <w:t xml:space="preserve"> based on a composite of past elections, and it will ultimately vary somewhat for specific future elections. A new metric that I dub </w:t>
      </w:r>
      <m:oMath>
        <m:r>
          <w:rPr>
            <w:rFonts w:ascii="Cambria Math" w:hAnsi="Cambria Math"/>
          </w:rPr>
          <m:t>LPR’</m:t>
        </m:r>
      </m:oMath>
      <w:r>
        <w:t xml:space="preserve"> averages B% over range of uncertainty that brackets the statewide vote share.</w:t>
      </w:r>
      <w:r>
        <w:rPr>
          <w:rStyle w:val="FootnoteReference"/>
        </w:rPr>
        <w:footnoteReference w:id="52"/>
      </w:r>
      <w:r>
        <w:t xml:space="preserve"> In effect, </w:t>
      </w:r>
      <m:oMath>
        <m:r>
          <w:rPr>
            <w:rFonts w:ascii="Cambria Math" w:hAnsi="Cambria Math"/>
          </w:rPr>
          <m:t>LPR’</m:t>
        </m:r>
      </m:oMath>
      <w:r>
        <w:t xml:space="preserve"> estimates the area between the Democratic seats–votes curve (blue) and the number of seats closest to the closest-to-proportional step function for the local range of uncertainty (gray in the seats–votes curves).</w:t>
      </w:r>
      <w:r>
        <w:rPr>
          <w:rStyle w:val="FootnoteReference"/>
        </w:rPr>
        <w:footnoteReference w:id="53"/>
      </w:r>
    </w:p>
    <w:p w14:paraId="4BBA3E15" w14:textId="77777777" w:rsidR="00455B4C" w:rsidRDefault="00455B4C" w:rsidP="00455B4C"/>
    <w:p w14:paraId="42EC91D5" w14:textId="77777777" w:rsidR="00455B4C" w:rsidRDefault="00455B4C" w:rsidP="00455B4C">
      <w:r>
        <w:t xml:space="preserve">B% generally tracks </w:t>
      </w:r>
      <m:oMath>
        <m:r>
          <w:rPr>
            <w:rFonts w:ascii="Cambria Math" w:hAnsi="Cambria Math"/>
          </w:rPr>
          <m:t>LPR'</m:t>
        </m:r>
      </m:oMath>
      <w:r>
        <w:t>, but again there are times when they can diverge somewhat. For example:</w:t>
      </w:r>
    </w:p>
    <w:p w14:paraId="08A368EE" w14:textId="77777777" w:rsidR="00455B4C" w:rsidRDefault="00455B4C" w:rsidP="00455B4C"/>
    <w:p w14:paraId="7FFD300C" w14:textId="77777777" w:rsidR="00455B4C" w:rsidRPr="00152D90" w:rsidRDefault="00455B4C" w:rsidP="00455B4C">
      <w:pPr>
        <w:pStyle w:val="ListParagraph"/>
        <w:numPr>
          <w:ilvl w:val="0"/>
          <w:numId w:val="25"/>
        </w:numPr>
      </w:pPr>
      <w:r>
        <w:rPr>
          <w:u w:val="single"/>
        </w:rPr>
        <w:t>CO</w:t>
      </w:r>
      <w:r w:rsidRPr="000A6617">
        <w:rPr>
          <w:u w:val="single"/>
        </w:rPr>
        <w:t xml:space="preserve"> 2012</w:t>
      </w:r>
      <w:r>
        <w:rPr>
          <w:u w:val="single"/>
        </w:rPr>
        <w:t xml:space="preserve"> Congressional</w:t>
      </w:r>
      <w:r>
        <w:t xml:space="preserve"> – The number of seats closest to proportional changes from 3 to 4 in the zone of uncertainty, so it makes a difference where you evaluate (dis)proportionality.</w:t>
      </w:r>
    </w:p>
    <w:p w14:paraId="2F294867" w14:textId="77777777" w:rsidR="00455B4C" w:rsidRPr="00152D90" w:rsidRDefault="00455B4C" w:rsidP="00455B4C">
      <w:pPr>
        <w:pStyle w:val="ListParagraph"/>
        <w:numPr>
          <w:ilvl w:val="0"/>
          <w:numId w:val="25"/>
        </w:numPr>
      </w:pPr>
      <w:r w:rsidRPr="000A6617">
        <w:rPr>
          <w:u w:val="single"/>
        </w:rPr>
        <w:t>PA 2020 Congressional</w:t>
      </w:r>
      <w:r>
        <w:t xml:space="preserve"> – Similarly, the number of seats closest to proportional changes from 9 to 10 in the range around the statewide vote share</w:t>
      </w:r>
      <w:r w:rsidRPr="00152D90">
        <w:t>.</w:t>
      </w:r>
    </w:p>
    <w:p w14:paraId="5DCB5DA0" w14:textId="77777777" w:rsidR="00455B4C" w:rsidRDefault="00455B4C" w:rsidP="00455B4C"/>
    <w:p w14:paraId="5DD3A488" w14:textId="77777777" w:rsidR="00455B4C" w:rsidRDefault="00455B4C" w:rsidP="00455B4C">
      <w:r>
        <w:t>The number of seats closest to proportional</w:t>
      </w:r>
      <w:r w:rsidRPr="005C1642">
        <w:t xml:space="preserve"> </w:t>
      </w:r>
      <w:r>
        <w:t>varies</w:t>
      </w:r>
      <w:r w:rsidRPr="005C1642">
        <w:t xml:space="preserve"> </w:t>
      </w:r>
      <w:r>
        <w:t>in the local</w:t>
      </w:r>
      <w:r w:rsidRPr="005C1642">
        <w:t xml:space="preserve"> range</w:t>
      </w:r>
      <w:r>
        <w:t xml:space="preserve"> around the statewide vote share </w:t>
      </w:r>
      <w:r w:rsidRPr="005C1642">
        <w:t xml:space="preserve">for </w:t>
      </w:r>
      <w:r>
        <w:t>eight</w:t>
      </w:r>
      <w:r w:rsidRPr="005C1642">
        <w:t xml:space="preserve"> of</w:t>
      </w:r>
      <w:r>
        <w:t xml:space="preserve"> the</w:t>
      </w:r>
      <w:r w:rsidRPr="005C1642">
        <w:t xml:space="preserve"> </w:t>
      </w:r>
      <w:r>
        <w:t>eleven</w:t>
      </w:r>
      <w:r w:rsidRPr="005C1642">
        <w:t xml:space="preserve"> </w:t>
      </w:r>
      <w:r>
        <w:t xml:space="preserve">2012 </w:t>
      </w:r>
      <w:r w:rsidRPr="005C1642">
        <w:t>plans</w:t>
      </w:r>
      <w:r>
        <w:t>: CA</w:t>
      </w:r>
      <w:r w:rsidRPr="005C1642">
        <w:t xml:space="preserve">, </w:t>
      </w:r>
      <w:r>
        <w:t>IL</w:t>
      </w:r>
      <w:r w:rsidRPr="005C1642">
        <w:t xml:space="preserve">, </w:t>
      </w:r>
      <w:r>
        <w:t>MA</w:t>
      </w:r>
      <w:r w:rsidRPr="005C1642">
        <w:t xml:space="preserve">, </w:t>
      </w:r>
      <w:r>
        <w:t>CO</w:t>
      </w:r>
      <w:r w:rsidRPr="005C1642">
        <w:t xml:space="preserve">, </w:t>
      </w:r>
      <w:r>
        <w:t>NC</w:t>
      </w:r>
      <w:r w:rsidRPr="005C1642">
        <w:t xml:space="preserve">, </w:t>
      </w:r>
      <w:r>
        <w:t>OH</w:t>
      </w:r>
      <w:r w:rsidRPr="005C1642">
        <w:t xml:space="preserve">, </w:t>
      </w:r>
      <w:r>
        <w:t>PA</w:t>
      </w:r>
      <w:r w:rsidRPr="005C1642">
        <w:t xml:space="preserve">, and </w:t>
      </w:r>
      <w:r>
        <w:t xml:space="preserve">TX. </w:t>
      </w:r>
    </w:p>
    <w:p w14:paraId="1B5BD458" w14:textId="77777777" w:rsidR="00455B4C" w:rsidRDefault="00455B4C" w:rsidP="00455B4C"/>
    <w:p w14:paraId="2CEDECC4" w14:textId="53C82D9F" w:rsidR="00455B4C" w:rsidRDefault="00455B4C" w:rsidP="00455B4C">
      <w:r>
        <w:t xml:space="preserve">Evaluating </w:t>
      </w:r>
      <m:oMath>
        <m:r>
          <w:rPr>
            <w:rFonts w:ascii="Cambria Math" w:hAnsi="Cambria Math"/>
          </w:rPr>
          <m:t>PR</m:t>
        </m:r>
      </m:oMath>
      <w:r>
        <w:t xml:space="preserve"> using whole seats (</w:t>
      </w:r>
      <m:oMath>
        <m:r>
          <w:rPr>
            <w:rFonts w:ascii="Cambria Math" w:hAnsi="Cambria Math"/>
          </w:rPr>
          <m:t>B%</m:t>
        </m:r>
      </m:oMath>
      <w:r>
        <w:t>) and averaging samples over a range around the statewide vote share (</w:t>
      </w:r>
      <m:oMath>
        <m:r>
          <w:rPr>
            <w:rFonts w:ascii="Cambria Math" w:hAnsi="Cambria Math"/>
          </w:rPr>
          <m:t>LPR’</m:t>
        </m:r>
      </m:oMath>
      <w:r>
        <w:t>) increases the robustness of the (dis)proportionality (</w:t>
      </w:r>
      <m:oMath>
        <m:r>
          <w:rPr>
            <w:rFonts w:ascii="Cambria Math" w:hAnsi="Cambria Math"/>
          </w:rPr>
          <m:t>PR</m:t>
        </m:r>
      </m:oMath>
      <w:r>
        <w:t>)</w:t>
      </w:r>
      <w:r w:rsidR="00BD7CE0">
        <w:t xml:space="preserve"> as a measure of </w:t>
      </w:r>
      <m:oMath>
        <m:r>
          <w:rPr>
            <w:rFonts w:ascii="Cambria Math" w:hAnsi="Cambria Math"/>
          </w:rPr>
          <m:t>PA|SV</m:t>
        </m:r>
      </m:oMath>
      <w:r>
        <w:t>.</w:t>
      </w:r>
    </w:p>
    <w:p w14:paraId="1724AC49" w14:textId="3E4BC3C5" w:rsidR="00A1530C" w:rsidRDefault="00A1530C" w:rsidP="0001675E"/>
    <w:p w14:paraId="0D9FD8BB" w14:textId="77777777" w:rsidR="00083ED9" w:rsidRPr="00614413" w:rsidRDefault="00083ED9" w:rsidP="00BD7CE0">
      <w:pPr>
        <w:keepNext/>
        <w:rPr>
          <w:b/>
          <w:bCs/>
        </w:rPr>
      </w:pPr>
      <w:r>
        <w:rPr>
          <w:rStyle w:val="Heading1Char"/>
        </w:rPr>
        <w:lastRenderedPageBreak/>
        <w:t>Conclusion</w:t>
      </w:r>
    </w:p>
    <w:p w14:paraId="484A26C5" w14:textId="77777777" w:rsidR="00083ED9" w:rsidRDefault="00083ED9" w:rsidP="00BD7CE0">
      <w:pPr>
        <w:keepNext/>
      </w:pPr>
    </w:p>
    <w:p w14:paraId="7BA236ED" w14:textId="7129D1E7" w:rsidR="00343E57" w:rsidRDefault="00083ED9" w:rsidP="0001675E">
      <w:r>
        <w:t xml:space="preserve">Most prominent measures of “bias” don’t measure </w:t>
      </w:r>
      <w:r w:rsidR="008B4180">
        <w:t xml:space="preserve">seats–votes </w:t>
      </w:r>
      <w:r>
        <w:t>partisan advantage</w:t>
      </w:r>
      <w:r w:rsidR="00492FC6">
        <w:t xml:space="preserve"> (</w:t>
      </w:r>
      <m:oMath>
        <m:r>
          <w:rPr>
            <w:rFonts w:ascii="Cambria Math" w:hAnsi="Cambria Math"/>
          </w:rPr>
          <m:t>PA|SV</m:t>
        </m:r>
      </m:oMath>
      <w:r w:rsidR="00492FC6">
        <w:t>)</w:t>
      </w:r>
      <w:r>
        <w:t xml:space="preserve"> specifically and/or aren’t reliable for states that are unbalanced politically. Two </w:t>
      </w:r>
      <w:r w:rsidR="008B4180">
        <w:t xml:space="preserve">do </w:t>
      </w:r>
      <w:r>
        <w:t xml:space="preserve">measure </w:t>
      </w:r>
      <w:r w:rsidR="008B4180">
        <w:t>it</w:t>
      </w:r>
      <w:r>
        <w:t xml:space="preserve"> directly and are reliable across the full range of statewide vote shares: proportional (</w:t>
      </w:r>
      <m:oMath>
        <m:r>
          <w:rPr>
            <w:rFonts w:ascii="Cambria Math" w:hAnsi="Cambria Math"/>
          </w:rPr>
          <m:t>PR</m:t>
        </m:r>
      </m:oMath>
      <w:r>
        <w:t xml:space="preserve">) and </w:t>
      </w:r>
      <w:r w:rsidR="008B4180">
        <w:t xml:space="preserve">the simplified </w:t>
      </w:r>
      <w:r>
        <w:t>efficiency gap (</w:t>
      </w:r>
      <m:oMath>
        <m:r>
          <w:rPr>
            <w:rFonts w:ascii="Cambria Math" w:hAnsi="Cambria Math"/>
          </w:rPr>
          <m:t>EG</m:t>
        </m:r>
      </m:oMath>
      <w:r>
        <w:t xml:space="preserve">). The robustness of </w:t>
      </w:r>
      <w:r w:rsidR="00C4671E">
        <w:t xml:space="preserve">these </w:t>
      </w:r>
      <w:r>
        <w:t xml:space="preserve">measures can be increased by using a step-function for the number of whole seats closest to proportional and averaging it over the local range of uncertainty around the likely statewide vote share. </w:t>
      </w:r>
    </w:p>
    <w:p w14:paraId="46083AFF" w14:textId="44CC3283" w:rsidR="00111CAF" w:rsidRDefault="00111CAF" w:rsidP="0001675E"/>
    <w:p w14:paraId="59723543" w14:textId="77777777" w:rsidR="00111CAF" w:rsidRPr="00614413" w:rsidRDefault="00111CAF" w:rsidP="00111CAF">
      <w:pPr>
        <w:rPr>
          <w:b/>
          <w:bCs/>
        </w:rPr>
      </w:pPr>
      <w:r>
        <w:rPr>
          <w:rStyle w:val="Heading1Char"/>
        </w:rPr>
        <w:t>References</w:t>
      </w:r>
    </w:p>
    <w:p w14:paraId="0D724361" w14:textId="69F10D91" w:rsidR="00111CAF" w:rsidRDefault="00111CAF" w:rsidP="00111CAF"/>
    <w:p w14:paraId="7410E9C1" w14:textId="060E4F43" w:rsidR="00B524F3" w:rsidRDefault="00B524F3" w:rsidP="00B524F3">
      <w:pPr>
        <w:rPr>
          <w:i/>
          <w:iCs/>
        </w:rPr>
      </w:pPr>
      <w:r>
        <w:rPr>
          <w:i/>
          <w:iCs/>
        </w:rPr>
        <w:t>Citations need to be added throughout the manuscript</w:t>
      </w:r>
      <w:r w:rsidR="00481304">
        <w:rPr>
          <w:i/>
          <w:iCs/>
        </w:rPr>
        <w:t>, and these references need to be formatted properly</w:t>
      </w:r>
      <w:r>
        <w:rPr>
          <w:i/>
          <w:iCs/>
        </w:rPr>
        <w:t>.</w:t>
      </w:r>
    </w:p>
    <w:p w14:paraId="5FA26531" w14:textId="77777777" w:rsidR="00B524F3" w:rsidRDefault="00B524F3" w:rsidP="00111CAF"/>
    <w:p w14:paraId="738F9343" w14:textId="77777777" w:rsidR="00111CAF" w:rsidRDefault="00111CAF" w:rsidP="00111CAF">
      <w:r>
        <w:t>Dave’s Redistricting App (</w:t>
      </w:r>
      <w:hyperlink r:id="rId19" w:history="1">
        <w:r w:rsidRPr="000E644D">
          <w:rPr>
            <w:rStyle w:val="Hyperlink"/>
          </w:rPr>
          <w:t>https://bit.ly/3FI3AHa</w:t>
        </w:r>
      </w:hyperlink>
      <w:r>
        <w:t>).</w:t>
      </w:r>
    </w:p>
    <w:p w14:paraId="661165ED" w14:textId="77777777" w:rsidR="00111CAF" w:rsidRDefault="00111CAF" w:rsidP="00111CAF"/>
    <w:p w14:paraId="6B19F833" w14:textId="77777777" w:rsidR="00D64561" w:rsidRPr="006D36C3" w:rsidRDefault="00D64561" w:rsidP="00D64561">
      <w:r w:rsidRPr="006D36C3">
        <w:t>Jon X. Eguia</w:t>
      </w:r>
      <w:r>
        <w:t>, “</w:t>
      </w:r>
      <w:r w:rsidRPr="00755AB1">
        <w:t>A Measure of Partisan Advantage in Redistricting</w:t>
      </w:r>
      <w:r>
        <w:t xml:space="preserve">,” </w:t>
      </w:r>
      <w:r w:rsidRPr="006D36C3">
        <w:t>Election Law Journal: Rules, Politics, and Policy</w:t>
      </w:r>
      <w:r>
        <w:t xml:space="preserve">, </w:t>
      </w:r>
      <w:r w:rsidRPr="006D36C3">
        <w:t>ahead of print</w:t>
      </w:r>
      <w:r>
        <w:t xml:space="preserve">, </w:t>
      </w:r>
      <w:hyperlink r:id="rId20" w:history="1">
        <w:r w:rsidRPr="006D36C3">
          <w:rPr>
            <w:rStyle w:val="Hyperlink"/>
          </w:rPr>
          <w:t>http://doi.org/10.1089/elj.2020.0691</w:t>
        </w:r>
      </w:hyperlink>
      <w:r>
        <w:t>.</w:t>
      </w:r>
    </w:p>
    <w:p w14:paraId="036D34F6" w14:textId="77777777" w:rsidR="00111CAF" w:rsidRDefault="00111CAF" w:rsidP="00111CAF"/>
    <w:p w14:paraId="0F957BE4" w14:textId="77777777" w:rsidR="00111CAF" w:rsidRDefault="00111CAF" w:rsidP="00111CAF">
      <w:pPr>
        <w:rPr>
          <w:rStyle w:val="Hyperlink"/>
        </w:rPr>
      </w:pPr>
      <w:r w:rsidRPr="00AC1745">
        <w:t xml:space="preserve">Michael D. McDonald, Daniel B. </w:t>
      </w:r>
      <w:proofErr w:type="spellStart"/>
      <w:r w:rsidRPr="00AC1745">
        <w:t>Magleby</w:t>
      </w:r>
      <w:proofErr w:type="spellEnd"/>
      <w:r w:rsidRPr="00AC1745">
        <w:t xml:space="preserve">, Jonathan </w:t>
      </w:r>
      <w:proofErr w:type="spellStart"/>
      <w:r w:rsidRPr="00AC1745">
        <w:t>Krasno</w:t>
      </w:r>
      <w:proofErr w:type="spellEnd"/>
      <w:r w:rsidRPr="00AC1745">
        <w:t>, Shawn J. Donahue, and Robin Best</w:t>
      </w:r>
      <w:r>
        <w:t>, “</w:t>
      </w:r>
      <w:r w:rsidRPr="00F70949">
        <w:t>Making a Case for Two Paths Forward in Light of</w:t>
      </w:r>
      <w:r w:rsidRPr="001F3CCF">
        <w:rPr>
          <w:i/>
          <w:iCs/>
        </w:rPr>
        <w:t xml:space="preserve"> Gill v. </w:t>
      </w:r>
      <w:proofErr w:type="spellStart"/>
      <w:r w:rsidRPr="001F3CCF">
        <w:rPr>
          <w:i/>
          <w:iCs/>
        </w:rPr>
        <w:t>Whitford</w:t>
      </w:r>
      <w:proofErr w:type="spellEnd"/>
      <w:r>
        <w:t xml:space="preserve">,” </w:t>
      </w:r>
      <w:r w:rsidRPr="00AC1745">
        <w:t>Election Law Journal: Rules, Politics, and Policy</w:t>
      </w:r>
      <w:r>
        <w:t xml:space="preserve">, </w:t>
      </w:r>
      <w:r w:rsidRPr="00AC1745">
        <w:t>Dec 2018</w:t>
      </w:r>
      <w:r>
        <w:t xml:space="preserve">, </w:t>
      </w:r>
      <w:r w:rsidRPr="00AC1745">
        <w:t>315-327</w:t>
      </w:r>
      <w:r>
        <w:t xml:space="preserve">, </w:t>
      </w:r>
      <w:hyperlink r:id="rId21" w:history="1">
        <w:r w:rsidRPr="00AC1745">
          <w:rPr>
            <w:rStyle w:val="Hyperlink"/>
          </w:rPr>
          <w:t>http://doi.org/10.1089/elj.2018.0527</w:t>
        </w:r>
      </w:hyperlink>
      <w:r>
        <w:rPr>
          <w:rStyle w:val="Hyperlink"/>
        </w:rPr>
        <w:t>.</w:t>
      </w:r>
    </w:p>
    <w:p w14:paraId="74BE87FB" w14:textId="77777777" w:rsidR="00111CAF" w:rsidRDefault="00111CAF" w:rsidP="00111CAF">
      <w:pPr>
        <w:rPr>
          <w:rStyle w:val="Hyperlink"/>
        </w:rPr>
      </w:pPr>
    </w:p>
    <w:p w14:paraId="4C73A431" w14:textId="77777777" w:rsidR="00111CAF" w:rsidRDefault="00111CAF" w:rsidP="00111CAF">
      <w:pPr>
        <w:tabs>
          <w:tab w:val="clear" w:pos="1440"/>
          <w:tab w:val="clear" w:pos="9360"/>
        </w:tabs>
        <w:rPr>
          <w:rFonts w:eastAsia="Times New Roman" w:cstheme="minorHAnsi"/>
        </w:rPr>
      </w:pPr>
      <w:r w:rsidRPr="00737E11">
        <w:rPr>
          <w:rFonts w:eastAsia="Times New Roman" w:cstheme="minorHAnsi"/>
        </w:rPr>
        <w:t>Bernard</w:t>
      </w:r>
      <w:r>
        <w:rPr>
          <w:rFonts w:eastAsia="Times New Roman" w:cstheme="minorHAnsi"/>
        </w:rPr>
        <w:t xml:space="preserve"> </w:t>
      </w:r>
      <w:proofErr w:type="spellStart"/>
      <w:r w:rsidRPr="00737E11">
        <w:rPr>
          <w:rFonts w:eastAsia="Times New Roman" w:cstheme="minorHAnsi"/>
        </w:rPr>
        <w:t>Grofman</w:t>
      </w:r>
      <w:proofErr w:type="spellEnd"/>
      <w:r>
        <w:rPr>
          <w:rFonts w:eastAsia="Times New Roman" w:cstheme="minorHAnsi"/>
        </w:rPr>
        <w:t xml:space="preserve">, </w:t>
      </w:r>
      <w:r w:rsidRPr="00737E11">
        <w:rPr>
          <w:rFonts w:eastAsia="Times New Roman" w:cstheme="minorHAnsi"/>
        </w:rPr>
        <w:t>“Measures of Bias and Proportionality in Seats-Votes Relationships</w:t>
      </w:r>
      <w:r>
        <w:rPr>
          <w:rFonts w:eastAsia="Times New Roman" w:cstheme="minorHAnsi"/>
        </w:rPr>
        <w:t>,</w:t>
      </w:r>
      <w:r w:rsidRPr="00737E11">
        <w:rPr>
          <w:rFonts w:eastAsia="Times New Roman" w:cstheme="minorHAnsi"/>
        </w:rPr>
        <w:t>” Political Methodology 9, no. 3 (1983): 295–327</w:t>
      </w:r>
      <w:r>
        <w:rPr>
          <w:rFonts w:eastAsia="Times New Roman" w:cstheme="minorHAnsi"/>
        </w:rPr>
        <w:t>,</w:t>
      </w:r>
      <w:r w:rsidRPr="00737E11">
        <w:rPr>
          <w:rFonts w:eastAsia="Times New Roman" w:cstheme="minorHAnsi"/>
        </w:rPr>
        <w:t xml:space="preserve"> </w:t>
      </w:r>
      <w:hyperlink r:id="rId22" w:history="1">
        <w:r w:rsidRPr="00737E11">
          <w:rPr>
            <w:rStyle w:val="Hyperlink"/>
            <w:rFonts w:eastAsia="Times New Roman" w:cstheme="minorHAnsi"/>
          </w:rPr>
          <w:t>http://www.jstor.org/stable/25791195</w:t>
        </w:r>
      </w:hyperlink>
      <w:r w:rsidRPr="00737E11">
        <w:rPr>
          <w:rFonts w:eastAsia="Times New Roman" w:cstheme="minorHAnsi"/>
        </w:rPr>
        <w:t>.</w:t>
      </w:r>
    </w:p>
    <w:p w14:paraId="0B6EB6F5" w14:textId="77777777" w:rsidR="00111CAF" w:rsidRDefault="00111CAF" w:rsidP="00111CAF">
      <w:pPr>
        <w:tabs>
          <w:tab w:val="clear" w:pos="1440"/>
          <w:tab w:val="clear" w:pos="9360"/>
        </w:tabs>
        <w:rPr>
          <w:rFonts w:eastAsia="Times New Roman" w:cstheme="minorHAnsi"/>
        </w:rPr>
      </w:pPr>
    </w:p>
    <w:p w14:paraId="316D8F99" w14:textId="77777777" w:rsidR="00111CAF" w:rsidRPr="00737E11" w:rsidRDefault="00111CAF" w:rsidP="00111CAF">
      <w:pPr>
        <w:tabs>
          <w:tab w:val="clear" w:pos="1440"/>
          <w:tab w:val="clear" w:pos="9360"/>
        </w:tabs>
        <w:rPr>
          <w:rFonts w:eastAsia="Times New Roman" w:cstheme="minorHAnsi"/>
        </w:rPr>
      </w:pPr>
      <w:r w:rsidRPr="00F81CE6">
        <w:rPr>
          <w:rFonts w:eastAsia="Times New Roman" w:cstheme="minorHAnsi"/>
        </w:rPr>
        <w:t>Jonathan N. Katz, Gary King, and Elizabeth Rosenblatt. 2020. “</w:t>
      </w:r>
      <w:hyperlink r:id="rId23" w:history="1">
        <w:r w:rsidRPr="00F81CE6">
          <w:rPr>
            <w:rStyle w:val="Hyperlink"/>
            <w:rFonts w:eastAsia="Times New Roman" w:cstheme="minorHAnsi"/>
          </w:rPr>
          <w:t>Theoretical Foundations and Empirical Evaluations of Partisan Fairness in District-Based Democracies</w:t>
        </w:r>
      </w:hyperlink>
      <w:r w:rsidRPr="00F81CE6">
        <w:rPr>
          <w:rFonts w:eastAsia="Times New Roman" w:cstheme="minorHAnsi"/>
        </w:rPr>
        <w:t>.” American Political Science Review, 114, 1, Pp. 164-178. </w:t>
      </w:r>
      <w:hyperlink r:id="rId24" w:history="1">
        <w:r w:rsidRPr="00F81CE6">
          <w:rPr>
            <w:rStyle w:val="Hyperlink"/>
            <w:rFonts w:eastAsia="Times New Roman" w:cstheme="minorHAnsi"/>
          </w:rPr>
          <w:t>Publisher's Version</w:t>
        </w:r>
      </w:hyperlink>
      <w:r w:rsidRPr="00F81CE6">
        <w:rPr>
          <w:rFonts w:eastAsia="Times New Roman" w:cstheme="minorHAnsi"/>
        </w:rPr>
        <w:t> Copy at </w:t>
      </w:r>
      <w:hyperlink r:id="rId25" w:history="1">
        <w:r w:rsidRPr="00F81CE6">
          <w:rPr>
            <w:rStyle w:val="Hyperlink"/>
            <w:rFonts w:eastAsia="Times New Roman" w:cstheme="minorHAnsi"/>
          </w:rPr>
          <w:t>https://j.mp/2BkgYTP</w:t>
        </w:r>
      </w:hyperlink>
      <w:r>
        <w:rPr>
          <w:rFonts w:eastAsia="Times New Roman" w:cstheme="minorHAnsi"/>
        </w:rPr>
        <w:t>.</w:t>
      </w:r>
    </w:p>
    <w:p w14:paraId="532ABC12" w14:textId="77777777" w:rsidR="00111CAF" w:rsidRDefault="00111CAF" w:rsidP="00111CAF"/>
    <w:p w14:paraId="297DD010" w14:textId="77777777" w:rsidR="00111CAF" w:rsidRDefault="00111CAF" w:rsidP="00111CAF">
      <w:r w:rsidRPr="0036549E">
        <w:t xml:space="preserve">Anthony McGann, Charles Anthony Smith, </w:t>
      </w:r>
      <w:r>
        <w:t xml:space="preserve">Michael </w:t>
      </w:r>
      <w:proofErr w:type="spellStart"/>
      <w:r w:rsidRPr="0036549E">
        <w:t>Latner</w:t>
      </w:r>
      <w:proofErr w:type="spellEnd"/>
      <w:r w:rsidRPr="0036549E">
        <w:t xml:space="preserve">, </w:t>
      </w:r>
      <w:r>
        <w:t>and Alex</w:t>
      </w:r>
      <w:r w:rsidRPr="0036549E">
        <w:t xml:space="preserve"> Keena</w:t>
      </w:r>
      <w:r>
        <w:t>,</w:t>
      </w:r>
      <w:r w:rsidRPr="0036549E">
        <w:t xml:space="preserve"> (2016). </w:t>
      </w:r>
      <w:r w:rsidRPr="0036549E">
        <w:rPr>
          <w:i/>
          <w:iCs/>
        </w:rPr>
        <w:t>Gerrymandering in America: The House of Representatives, the Supreme Court and the Future of Popular Sovereignty</w:t>
      </w:r>
      <w:r>
        <w:t>,</w:t>
      </w:r>
      <w:r w:rsidRPr="0036549E">
        <w:t xml:space="preserve"> Cambridge University</w:t>
      </w:r>
      <w:r>
        <w:t xml:space="preserve"> </w:t>
      </w:r>
      <w:r w:rsidRPr="0036549E">
        <w:t>Press</w:t>
      </w:r>
      <w:r>
        <w:t xml:space="preserve">, </w:t>
      </w:r>
      <w:hyperlink r:id="rId26" w:history="1">
        <w:r w:rsidRPr="0036549E">
          <w:rPr>
            <w:rStyle w:val="Hyperlink"/>
          </w:rPr>
          <w:t>https://doi.org/10.1017/CBO9781316534342</w:t>
        </w:r>
      </w:hyperlink>
      <w:r>
        <w:t xml:space="preserve"> .</w:t>
      </w:r>
    </w:p>
    <w:p w14:paraId="5AA3C144" w14:textId="77777777" w:rsidR="00111CAF" w:rsidRDefault="00111CAF" w:rsidP="00111CAF"/>
    <w:p w14:paraId="573A242B" w14:textId="77777777" w:rsidR="00111CAF" w:rsidRDefault="00111CAF" w:rsidP="00111CAF">
      <w:pPr>
        <w:rPr>
          <w:rStyle w:val="Hyperlink"/>
        </w:rPr>
      </w:pPr>
      <w:r w:rsidRPr="0061420B">
        <w:t>John F. Nagle and Alec Ramsay</w:t>
      </w:r>
      <w:r>
        <w:t>, “</w:t>
      </w:r>
      <w:r w:rsidRPr="00F70949">
        <w:t>On Measuring Two-Party Partisan Bias in Unbalanced States,</w:t>
      </w:r>
      <w:r>
        <w:t>”</w:t>
      </w:r>
      <w:r w:rsidRPr="00F70949">
        <w:t xml:space="preserve"> </w:t>
      </w:r>
      <w:r w:rsidRPr="0061420B">
        <w:t>Election Law Journal: Rules, Politics, and Policy</w:t>
      </w:r>
      <w:r>
        <w:t xml:space="preserve">, </w:t>
      </w:r>
      <w:r w:rsidRPr="0061420B">
        <w:t>Mar 2021</w:t>
      </w:r>
      <w:r>
        <w:t xml:space="preserve">, </w:t>
      </w:r>
      <w:r w:rsidRPr="0061420B">
        <w:t>116-138</w:t>
      </w:r>
      <w:r>
        <w:t xml:space="preserve">, </w:t>
      </w:r>
      <w:hyperlink r:id="rId27" w:history="1">
        <w:r w:rsidRPr="0061420B">
          <w:rPr>
            <w:rStyle w:val="Hyperlink"/>
          </w:rPr>
          <w:t>http://doi.org/10.1089/elj.2020.0674</w:t>
        </w:r>
      </w:hyperlink>
      <w:r>
        <w:rPr>
          <w:rStyle w:val="Hyperlink"/>
        </w:rPr>
        <w:t>.</w:t>
      </w:r>
    </w:p>
    <w:p w14:paraId="6C8A76FC" w14:textId="77777777" w:rsidR="00111CAF" w:rsidRDefault="00111CAF" w:rsidP="00111CAF">
      <w:pPr>
        <w:rPr>
          <w:rStyle w:val="Hyperlink"/>
        </w:rPr>
      </w:pPr>
    </w:p>
    <w:p w14:paraId="17039AEF" w14:textId="77777777" w:rsidR="00111CAF" w:rsidRDefault="00111CAF" w:rsidP="00111CAF">
      <w:pPr>
        <w:rPr>
          <w:rFonts w:cstheme="minorHAnsi"/>
          <w:shd w:val="clear" w:color="auto" w:fill="FFFFFF"/>
        </w:rPr>
      </w:pPr>
      <w:r w:rsidRPr="0051028C">
        <w:rPr>
          <w:rFonts w:cstheme="minorHAnsi"/>
          <w:shd w:val="clear" w:color="auto" w:fill="FFFFFF"/>
        </w:rPr>
        <w:t xml:space="preserve">Nicholas Stephanopoulos </w:t>
      </w:r>
      <w:r>
        <w:rPr>
          <w:rFonts w:cstheme="minorHAnsi"/>
          <w:shd w:val="clear" w:color="auto" w:fill="FFFFFF"/>
        </w:rPr>
        <w:t>and</w:t>
      </w:r>
      <w:r w:rsidRPr="0051028C">
        <w:rPr>
          <w:rFonts w:cstheme="minorHAnsi"/>
          <w:shd w:val="clear" w:color="auto" w:fill="FFFFFF"/>
        </w:rPr>
        <w:t xml:space="preserve"> Eric McGhee, </w:t>
      </w:r>
      <w:r>
        <w:rPr>
          <w:rFonts w:cstheme="minorHAnsi"/>
          <w:shd w:val="clear" w:color="auto" w:fill="FFFFFF"/>
        </w:rPr>
        <w:t>“</w:t>
      </w:r>
      <w:r w:rsidRPr="00F70949">
        <w:rPr>
          <w:rFonts w:cstheme="minorHAnsi"/>
          <w:shd w:val="clear" w:color="auto" w:fill="FFFFFF"/>
        </w:rPr>
        <w:t>The Measure of a Metric: The Debate Over Quantifying Partisan Gerrymandering,</w:t>
      </w:r>
      <w:r>
        <w:rPr>
          <w:rFonts w:cstheme="minorHAnsi"/>
          <w:shd w:val="clear" w:color="auto" w:fill="FFFFFF"/>
        </w:rPr>
        <w:t>”</w:t>
      </w:r>
      <w:r w:rsidRPr="0051028C">
        <w:rPr>
          <w:rFonts w:cstheme="minorHAnsi"/>
          <w:shd w:val="clear" w:color="auto" w:fill="FFFFFF"/>
        </w:rPr>
        <w:t xml:space="preserve"> 70 Stanford Law Review 1503 (2018). </w:t>
      </w:r>
    </w:p>
    <w:p w14:paraId="005B8032" w14:textId="77777777" w:rsidR="00111CAF" w:rsidRDefault="00111CAF" w:rsidP="00111CAF">
      <w:pPr>
        <w:rPr>
          <w:rFonts w:cstheme="minorHAnsi"/>
          <w:shd w:val="clear" w:color="auto" w:fill="FFFFFF"/>
        </w:rPr>
      </w:pPr>
    </w:p>
    <w:p w14:paraId="5151A893" w14:textId="77777777" w:rsidR="00111CAF" w:rsidRDefault="00111CAF" w:rsidP="00111CAF">
      <w:pPr>
        <w:tabs>
          <w:tab w:val="clear" w:pos="1440"/>
          <w:tab w:val="clear" w:pos="9360"/>
        </w:tabs>
        <w:rPr>
          <w:rFonts w:eastAsia="Times New Roman" w:cstheme="minorHAnsi"/>
        </w:rPr>
      </w:pPr>
      <w:r w:rsidRPr="008E69A4">
        <w:rPr>
          <w:rFonts w:eastAsia="Times New Roman" w:cstheme="minorHAnsi"/>
        </w:rPr>
        <w:lastRenderedPageBreak/>
        <w:t>Edward R.</w:t>
      </w:r>
      <w:r>
        <w:rPr>
          <w:rFonts w:eastAsia="Times New Roman" w:cstheme="minorHAnsi"/>
        </w:rPr>
        <w:t xml:space="preserve"> </w:t>
      </w:r>
      <w:r w:rsidRPr="008E69A4">
        <w:rPr>
          <w:rFonts w:eastAsia="Times New Roman" w:cstheme="minorHAnsi"/>
        </w:rPr>
        <w:t>Tufte, “The Relationship between Seats and Votes in Two-Party Systems</w:t>
      </w:r>
      <w:r>
        <w:rPr>
          <w:rFonts w:eastAsia="Times New Roman" w:cstheme="minorHAnsi"/>
        </w:rPr>
        <w:t>,</w:t>
      </w:r>
      <w:r w:rsidRPr="008E69A4">
        <w:rPr>
          <w:rFonts w:eastAsia="Times New Roman" w:cstheme="minorHAnsi"/>
        </w:rPr>
        <w:t>” The American Political Science Review 67, no. 2 (1973): 540–54</w:t>
      </w:r>
      <w:r>
        <w:rPr>
          <w:rFonts w:eastAsia="Times New Roman" w:cstheme="minorHAnsi"/>
        </w:rPr>
        <w:t>,</w:t>
      </w:r>
      <w:r w:rsidRPr="008E69A4">
        <w:rPr>
          <w:rFonts w:eastAsia="Times New Roman" w:cstheme="minorHAnsi"/>
        </w:rPr>
        <w:t xml:space="preserve"> </w:t>
      </w:r>
      <w:hyperlink r:id="rId28" w:history="1">
        <w:r w:rsidRPr="008E69A4">
          <w:rPr>
            <w:rStyle w:val="Hyperlink"/>
            <w:rFonts w:eastAsia="Times New Roman" w:cstheme="minorHAnsi"/>
          </w:rPr>
          <w:t>https://doi.org/10.2307/1958782</w:t>
        </w:r>
      </w:hyperlink>
      <w:r w:rsidRPr="008E69A4">
        <w:rPr>
          <w:rFonts w:eastAsia="Times New Roman" w:cstheme="minorHAnsi"/>
        </w:rPr>
        <w:t>.</w:t>
      </w:r>
    </w:p>
    <w:p w14:paraId="44BCE1E6" w14:textId="77777777" w:rsidR="00111CAF" w:rsidRDefault="00111CAF" w:rsidP="00111CAF">
      <w:pPr>
        <w:tabs>
          <w:tab w:val="clear" w:pos="1440"/>
          <w:tab w:val="clear" w:pos="9360"/>
        </w:tabs>
        <w:rPr>
          <w:rFonts w:eastAsia="Times New Roman" w:cstheme="minorHAnsi"/>
        </w:rPr>
      </w:pPr>
    </w:p>
    <w:p w14:paraId="1D331C42" w14:textId="77777777" w:rsidR="00111CAF" w:rsidRDefault="00111CAF" w:rsidP="00111CAF">
      <w:pPr>
        <w:tabs>
          <w:tab w:val="clear" w:pos="1440"/>
          <w:tab w:val="clear" w:pos="9360"/>
        </w:tabs>
        <w:rPr>
          <w:rFonts w:eastAsia="Times New Roman" w:cstheme="minorHAnsi"/>
        </w:rPr>
      </w:pPr>
      <w:r>
        <w:rPr>
          <w:rFonts w:eastAsia="Times New Roman" w:cstheme="minorHAnsi"/>
        </w:rPr>
        <w:t xml:space="preserve">Samuel </w:t>
      </w:r>
      <w:r w:rsidRPr="005F25D2">
        <w:rPr>
          <w:rFonts w:eastAsia="Times New Roman" w:cstheme="minorHAnsi"/>
        </w:rPr>
        <w:t xml:space="preserve">Wang, </w:t>
      </w:r>
      <w:r>
        <w:rPr>
          <w:rFonts w:eastAsia="Times New Roman" w:cstheme="minorHAnsi"/>
        </w:rPr>
        <w:t>“</w:t>
      </w:r>
      <w:r w:rsidRPr="005F25D2">
        <w:rPr>
          <w:rFonts w:eastAsia="Times New Roman" w:cstheme="minorHAnsi"/>
        </w:rPr>
        <w:t>Three tests for practical evaluation of partisan gerrymandering</w:t>
      </w:r>
      <w:r>
        <w:rPr>
          <w:rFonts w:eastAsia="Times New Roman" w:cstheme="minorHAnsi"/>
        </w:rPr>
        <w:t>” (2016),</w:t>
      </w:r>
      <w:r w:rsidRPr="005F25D2">
        <w:rPr>
          <w:rFonts w:eastAsia="Times New Roman" w:cstheme="minorHAnsi"/>
        </w:rPr>
        <w:t> </w:t>
      </w:r>
      <w:r w:rsidRPr="005F25D2">
        <w:rPr>
          <w:rFonts w:eastAsia="Times New Roman" w:cstheme="minorHAnsi"/>
          <w:i/>
          <w:iCs/>
        </w:rPr>
        <w:t>Stanford Law Review</w:t>
      </w:r>
      <w:r w:rsidRPr="005F25D2">
        <w:rPr>
          <w:rFonts w:eastAsia="Times New Roman" w:cstheme="minorHAnsi"/>
        </w:rPr>
        <w:t>, </w:t>
      </w:r>
      <w:r w:rsidRPr="005F25D2">
        <w:rPr>
          <w:rFonts w:eastAsia="Times New Roman" w:cstheme="minorHAnsi"/>
          <w:i/>
          <w:iCs/>
        </w:rPr>
        <w:t>68</w:t>
      </w:r>
      <w:r w:rsidRPr="005F25D2">
        <w:rPr>
          <w:rFonts w:eastAsia="Times New Roman" w:cstheme="minorHAnsi"/>
        </w:rPr>
        <w:t>(6), 1263-1321.</w:t>
      </w:r>
    </w:p>
    <w:p w14:paraId="4CCFD270" w14:textId="77777777" w:rsidR="00111CAF" w:rsidRDefault="00111CAF" w:rsidP="00111CAF">
      <w:pPr>
        <w:tabs>
          <w:tab w:val="clear" w:pos="1440"/>
          <w:tab w:val="clear" w:pos="9360"/>
        </w:tabs>
        <w:rPr>
          <w:rFonts w:eastAsia="Times New Roman" w:cstheme="minorHAnsi"/>
        </w:rPr>
      </w:pPr>
    </w:p>
    <w:p w14:paraId="5BC8F0F2" w14:textId="77777777" w:rsidR="00111CAF" w:rsidRPr="005F25D2" w:rsidRDefault="00111CAF" w:rsidP="00111CAF">
      <w:pPr>
        <w:tabs>
          <w:tab w:val="clear" w:pos="1440"/>
          <w:tab w:val="clear" w:pos="9360"/>
        </w:tabs>
        <w:rPr>
          <w:rFonts w:eastAsia="Times New Roman" w:cstheme="minorHAnsi"/>
        </w:rPr>
      </w:pPr>
      <w:r w:rsidRPr="0025465D">
        <w:rPr>
          <w:rFonts w:eastAsia="Times New Roman" w:cstheme="minorHAnsi"/>
        </w:rPr>
        <w:t xml:space="preserve">Samuel Wang, </w:t>
      </w:r>
      <w:r>
        <w:rPr>
          <w:rFonts w:eastAsia="Times New Roman" w:cstheme="minorHAnsi"/>
        </w:rPr>
        <w:t>Brian</w:t>
      </w:r>
      <w:r w:rsidRPr="0025465D">
        <w:rPr>
          <w:rFonts w:eastAsia="Times New Roman" w:cstheme="minorHAnsi"/>
        </w:rPr>
        <w:t xml:space="preserve"> </w:t>
      </w:r>
      <w:proofErr w:type="spellStart"/>
      <w:r w:rsidRPr="0025465D">
        <w:rPr>
          <w:rFonts w:eastAsia="Times New Roman" w:cstheme="minorHAnsi"/>
        </w:rPr>
        <w:t>Remlinger</w:t>
      </w:r>
      <w:proofErr w:type="spellEnd"/>
      <w:r w:rsidRPr="0025465D">
        <w:rPr>
          <w:rFonts w:eastAsia="Times New Roman" w:cstheme="minorHAnsi"/>
        </w:rPr>
        <w:t>,</w:t>
      </w:r>
      <w:r>
        <w:rPr>
          <w:rFonts w:eastAsia="Times New Roman" w:cstheme="minorHAnsi"/>
        </w:rPr>
        <w:t xml:space="preserve"> </w:t>
      </w:r>
      <w:r w:rsidRPr="0025465D">
        <w:rPr>
          <w:rFonts w:eastAsia="Times New Roman" w:cstheme="minorHAnsi"/>
        </w:rPr>
        <w:t xml:space="preserve">and Benjamin Williams, </w:t>
      </w:r>
      <w:r>
        <w:rPr>
          <w:rFonts w:eastAsia="Times New Roman" w:cstheme="minorHAnsi"/>
        </w:rPr>
        <w:t>“</w:t>
      </w:r>
      <w:r w:rsidRPr="0025465D">
        <w:rPr>
          <w:rFonts w:eastAsia="Times New Roman" w:cstheme="minorHAnsi"/>
        </w:rPr>
        <w:t>An Antidote for Gobbledygook: Organizing the Judge's Partisan Gerrymandering Toolkit into a Two-Part Framework</w:t>
      </w:r>
      <w:r>
        <w:rPr>
          <w:rFonts w:eastAsia="Times New Roman" w:cstheme="minorHAnsi"/>
        </w:rPr>
        <w:t>”</w:t>
      </w:r>
      <w:r w:rsidRPr="0025465D">
        <w:rPr>
          <w:rFonts w:eastAsia="Times New Roman" w:cstheme="minorHAnsi"/>
        </w:rPr>
        <w:t xml:space="preserve"> (April 1, 2019). Election Law Journal, Available at</w:t>
      </w:r>
      <w:r>
        <w:rPr>
          <w:rFonts w:eastAsia="Times New Roman" w:cstheme="minorHAnsi"/>
        </w:rPr>
        <w:t xml:space="preserve"> </w:t>
      </w:r>
      <w:r w:rsidRPr="0025465D">
        <w:rPr>
          <w:rFonts w:eastAsia="Times New Roman" w:cstheme="minorHAnsi"/>
        </w:rPr>
        <w:t>SSRN: </w:t>
      </w:r>
      <w:hyperlink r:id="rId29" w:tgtFrame="_blank" w:history="1">
        <w:r w:rsidRPr="0025465D">
          <w:rPr>
            <w:rStyle w:val="Hyperlink"/>
            <w:rFonts w:eastAsia="Times New Roman" w:cstheme="minorHAnsi"/>
          </w:rPr>
          <w:t>https://ssrn.com/abstract=3158123</w:t>
        </w:r>
      </w:hyperlink>
      <w:r>
        <w:rPr>
          <w:rFonts w:eastAsia="Times New Roman" w:cstheme="minorHAnsi"/>
        </w:rPr>
        <w:t xml:space="preserve"> </w:t>
      </w:r>
      <w:r w:rsidRPr="0025465D">
        <w:rPr>
          <w:rFonts w:eastAsia="Times New Roman" w:cstheme="minorHAnsi"/>
        </w:rPr>
        <w:t>or </w:t>
      </w:r>
      <w:hyperlink r:id="rId30" w:tgtFrame="_blank" w:history="1">
        <w:r w:rsidRPr="0025465D">
          <w:rPr>
            <w:rStyle w:val="Hyperlink"/>
            <w:rFonts w:eastAsia="Times New Roman" w:cstheme="minorHAnsi"/>
          </w:rPr>
          <w:t>http://dx.doi.org/10.2139/ssrn.3158123</w:t>
        </w:r>
      </w:hyperlink>
      <w:r>
        <w:rPr>
          <w:rFonts w:eastAsia="Times New Roman" w:cstheme="minorHAnsi"/>
        </w:rPr>
        <w:t>.</w:t>
      </w:r>
    </w:p>
    <w:p w14:paraId="46D06116" w14:textId="77777777" w:rsidR="00111CAF" w:rsidRDefault="00111CAF" w:rsidP="00111CAF">
      <w:pPr>
        <w:tabs>
          <w:tab w:val="clear" w:pos="1440"/>
          <w:tab w:val="clear" w:pos="9360"/>
        </w:tabs>
        <w:rPr>
          <w:rFonts w:eastAsia="Times New Roman" w:cstheme="minorHAnsi"/>
        </w:rPr>
      </w:pPr>
    </w:p>
    <w:p w14:paraId="4329556B" w14:textId="77777777" w:rsidR="00111CAF" w:rsidRPr="00B01A82" w:rsidRDefault="00111CAF" w:rsidP="00111CAF">
      <w:pPr>
        <w:tabs>
          <w:tab w:val="clear" w:pos="1440"/>
          <w:tab w:val="clear" w:pos="9360"/>
        </w:tabs>
        <w:rPr>
          <w:rFonts w:eastAsia="Times New Roman" w:cstheme="minorHAnsi"/>
        </w:rPr>
      </w:pPr>
      <w:r w:rsidRPr="00B01A82">
        <w:rPr>
          <w:rFonts w:eastAsia="Times New Roman" w:cstheme="minorHAnsi"/>
        </w:rPr>
        <w:t xml:space="preserve">Samuel </w:t>
      </w:r>
      <w:r>
        <w:rPr>
          <w:rFonts w:eastAsia="Times New Roman" w:cstheme="minorHAnsi"/>
        </w:rPr>
        <w:t xml:space="preserve">Wang, Sandra J. </w:t>
      </w:r>
      <w:r w:rsidRPr="00B01A82">
        <w:rPr>
          <w:rFonts w:eastAsia="Times New Roman" w:cstheme="minorHAnsi"/>
        </w:rPr>
        <w:t xml:space="preserve">Chen, </w:t>
      </w:r>
      <w:r>
        <w:rPr>
          <w:rFonts w:eastAsia="Times New Roman" w:cstheme="minorHAnsi"/>
        </w:rPr>
        <w:t>Richard</w:t>
      </w:r>
      <w:r w:rsidRPr="00B01A82">
        <w:rPr>
          <w:rFonts w:eastAsia="Times New Roman" w:cstheme="minorHAnsi"/>
        </w:rPr>
        <w:t xml:space="preserve"> Ober, </w:t>
      </w:r>
      <w:r>
        <w:rPr>
          <w:rFonts w:eastAsia="Times New Roman" w:cstheme="minorHAnsi"/>
        </w:rPr>
        <w:t>Bernard</w:t>
      </w:r>
      <w:r w:rsidRPr="00B01A82">
        <w:rPr>
          <w:rFonts w:eastAsia="Times New Roman" w:cstheme="minorHAnsi"/>
        </w:rPr>
        <w:t xml:space="preserve"> </w:t>
      </w:r>
      <w:proofErr w:type="spellStart"/>
      <w:r w:rsidRPr="00B01A82">
        <w:rPr>
          <w:rFonts w:eastAsia="Times New Roman" w:cstheme="minorHAnsi"/>
        </w:rPr>
        <w:t>Grofman</w:t>
      </w:r>
      <w:proofErr w:type="spellEnd"/>
      <w:r w:rsidRPr="00B01A82">
        <w:rPr>
          <w:rFonts w:eastAsia="Times New Roman" w:cstheme="minorHAnsi"/>
        </w:rPr>
        <w:t xml:space="preserve">, </w:t>
      </w:r>
      <w:r>
        <w:rPr>
          <w:rFonts w:eastAsia="Times New Roman" w:cstheme="minorHAnsi"/>
        </w:rPr>
        <w:t>Kyles</w:t>
      </w:r>
      <w:r w:rsidRPr="00B01A82">
        <w:rPr>
          <w:rFonts w:eastAsia="Times New Roman" w:cstheme="minorHAnsi"/>
        </w:rPr>
        <w:t xml:space="preserve"> Barnes, </w:t>
      </w:r>
      <w:r>
        <w:rPr>
          <w:rFonts w:eastAsia="Times New Roman" w:cstheme="minorHAnsi"/>
        </w:rPr>
        <w:t>and Jonathan</w:t>
      </w:r>
      <w:r w:rsidRPr="00B01A82">
        <w:rPr>
          <w:rFonts w:eastAsia="Times New Roman" w:cstheme="minorHAnsi"/>
        </w:rPr>
        <w:t xml:space="preserve"> </w:t>
      </w:r>
      <w:proofErr w:type="spellStart"/>
      <w:r w:rsidRPr="00B01A82">
        <w:rPr>
          <w:rFonts w:eastAsia="Times New Roman" w:cstheme="minorHAnsi"/>
        </w:rPr>
        <w:t>Cervas</w:t>
      </w:r>
      <w:proofErr w:type="spellEnd"/>
      <w:r w:rsidRPr="00B01A82">
        <w:rPr>
          <w:rFonts w:eastAsia="Times New Roman" w:cstheme="minorHAnsi"/>
        </w:rPr>
        <w:t xml:space="preserve">, </w:t>
      </w:r>
      <w:r>
        <w:rPr>
          <w:rFonts w:eastAsia="Times New Roman" w:cstheme="minorHAnsi"/>
        </w:rPr>
        <w:t>“</w:t>
      </w:r>
      <w:r w:rsidRPr="00B01A82">
        <w:rPr>
          <w:rFonts w:eastAsia="Times New Roman" w:cstheme="minorHAnsi"/>
        </w:rPr>
        <w:t xml:space="preserve">Turning Communities </w:t>
      </w:r>
      <w:proofErr w:type="gramStart"/>
      <w:r w:rsidRPr="00B01A82">
        <w:rPr>
          <w:rFonts w:eastAsia="Times New Roman" w:cstheme="minorHAnsi"/>
        </w:rPr>
        <w:t>Of</w:t>
      </w:r>
      <w:proofErr w:type="gramEnd"/>
      <w:r w:rsidRPr="00B01A82">
        <w:rPr>
          <w:rFonts w:eastAsia="Times New Roman" w:cstheme="minorHAnsi"/>
        </w:rPr>
        <w:t xml:space="preserve"> Interest Into A Rigorous Standard For Fair Districting</w:t>
      </w:r>
      <w:r>
        <w:rPr>
          <w:rFonts w:eastAsia="Times New Roman" w:cstheme="minorHAnsi"/>
        </w:rPr>
        <w:t>”</w:t>
      </w:r>
      <w:r w:rsidRPr="00B01A82">
        <w:rPr>
          <w:rFonts w:eastAsia="Times New Roman" w:cstheme="minorHAnsi"/>
        </w:rPr>
        <w:t xml:space="preserve"> (March 14, 2021). Stanford Journal of Civil Rights and Civil Liberties, Forthcoming, Available at SSRN: </w:t>
      </w:r>
      <w:hyperlink r:id="rId31" w:tgtFrame="_blank" w:history="1">
        <w:r w:rsidRPr="00B01A82">
          <w:rPr>
            <w:rStyle w:val="Hyperlink"/>
            <w:rFonts w:eastAsia="Times New Roman" w:cstheme="minorHAnsi"/>
          </w:rPr>
          <w:t>https://ssrn.com/abstract=3828800</w:t>
        </w:r>
      </w:hyperlink>
      <w:r>
        <w:rPr>
          <w:rFonts w:eastAsia="Times New Roman" w:cstheme="minorHAnsi"/>
        </w:rPr>
        <w:t>.</w:t>
      </w:r>
    </w:p>
    <w:p w14:paraId="23BECE34" w14:textId="77777777" w:rsidR="00111CAF" w:rsidRPr="0051028C" w:rsidRDefault="00111CAF" w:rsidP="00111CAF">
      <w:pPr>
        <w:rPr>
          <w:rFonts w:cstheme="minorHAnsi"/>
          <w:shd w:val="clear" w:color="auto" w:fill="FFFFFF"/>
        </w:rPr>
      </w:pPr>
    </w:p>
    <w:p w14:paraId="68BA9850" w14:textId="44920D87" w:rsidR="00111CAF" w:rsidRDefault="00111CAF" w:rsidP="0001675E">
      <w:r w:rsidRPr="00DA1158">
        <w:t>Gregory S. Warrington</w:t>
      </w:r>
      <w:r>
        <w:t>, “</w:t>
      </w:r>
      <w:r w:rsidRPr="00F70949">
        <w:t>A Comparison of Partisan-Gerrymandering Measures</w:t>
      </w:r>
      <w:r>
        <w:t>,”</w:t>
      </w:r>
      <w:r>
        <w:rPr>
          <w:i/>
          <w:iCs/>
        </w:rPr>
        <w:t xml:space="preserve"> </w:t>
      </w:r>
      <w:r w:rsidRPr="00DA1158">
        <w:t>Election Law Journal: Rules, Politics, and Policy</w:t>
      </w:r>
      <w:r>
        <w:t xml:space="preserve">, </w:t>
      </w:r>
      <w:r w:rsidRPr="00DA1158">
        <w:t>Sep 2019</w:t>
      </w:r>
      <w:r>
        <w:t xml:space="preserve">, </w:t>
      </w:r>
      <w:r w:rsidRPr="00DA1158">
        <w:t>262-281</w:t>
      </w:r>
      <w:r>
        <w:t xml:space="preserve">, </w:t>
      </w:r>
      <w:hyperlink r:id="rId32" w:history="1">
        <w:r w:rsidRPr="00DA1158">
          <w:rPr>
            <w:rStyle w:val="Hyperlink"/>
          </w:rPr>
          <w:t>http://doi.org/10.1089/elj.2018.0508</w:t>
        </w:r>
      </w:hyperlink>
      <w:r>
        <w:rPr>
          <w:rStyle w:val="Hyperlink"/>
        </w:rPr>
        <w:t>.</w:t>
      </w:r>
    </w:p>
    <w:p w14:paraId="551BB3E3" w14:textId="77777777" w:rsidR="008E26A2" w:rsidRDefault="008E26A2" w:rsidP="0001675E"/>
    <w:p w14:paraId="7D29FC40" w14:textId="6A9BD559" w:rsidR="00D82F6E" w:rsidRPr="001E5BCE" w:rsidRDefault="00D82F6E" w:rsidP="0001675E">
      <w:pPr>
        <w:rPr>
          <w:sz w:val="20"/>
          <w:szCs w:val="20"/>
        </w:rPr>
      </w:pPr>
      <w:r w:rsidRPr="001E5BCE">
        <w:rPr>
          <w:sz w:val="20"/>
          <w:szCs w:val="20"/>
        </w:rPr>
        <w:t>[end]</w:t>
      </w:r>
    </w:p>
    <w:sectPr w:rsidR="00D82F6E" w:rsidRPr="001E5BCE" w:rsidSect="00E00985">
      <w:footnotePr>
        <w:numRestart w:val="eachSect"/>
      </w:foot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57A7C" w14:textId="77777777" w:rsidR="00107C13" w:rsidRDefault="00107C13" w:rsidP="0001675E">
      <w:r>
        <w:separator/>
      </w:r>
    </w:p>
  </w:endnote>
  <w:endnote w:type="continuationSeparator" w:id="0">
    <w:p w14:paraId="03F6EC28" w14:textId="77777777" w:rsidR="00107C13" w:rsidRDefault="00107C13" w:rsidP="00016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5184509"/>
      <w:docPartObj>
        <w:docPartGallery w:val="Page Numbers (Bottom of Page)"/>
        <w:docPartUnique/>
      </w:docPartObj>
    </w:sdtPr>
    <w:sdtEndPr>
      <w:rPr>
        <w:rStyle w:val="PageNumber"/>
      </w:rPr>
    </w:sdtEndPr>
    <w:sdtContent>
      <w:p w14:paraId="18978B0E" w14:textId="0AC9BDEE" w:rsidR="00FC1E60" w:rsidRDefault="00FC1E60" w:rsidP="0001675E">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F4F09EC" w14:textId="77777777" w:rsidR="00FC1E60" w:rsidRDefault="00FC1E60" w:rsidP="000167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0"/>
        <w:szCs w:val="20"/>
      </w:rPr>
      <w:id w:val="41565338"/>
      <w:docPartObj>
        <w:docPartGallery w:val="Page Numbers (Bottom of Page)"/>
        <w:docPartUnique/>
      </w:docPartObj>
    </w:sdtPr>
    <w:sdtEndPr>
      <w:rPr>
        <w:rStyle w:val="PageNumber"/>
      </w:rPr>
    </w:sdtEndPr>
    <w:sdtContent>
      <w:p w14:paraId="79937773" w14:textId="078D6104" w:rsidR="00FC1E60" w:rsidRPr="00FC1E60" w:rsidRDefault="00FC1E60" w:rsidP="008E2BA9">
        <w:pPr>
          <w:pStyle w:val="Footer"/>
          <w:jc w:val="center"/>
          <w:rPr>
            <w:rStyle w:val="PageNumber"/>
            <w:sz w:val="20"/>
            <w:szCs w:val="20"/>
          </w:rPr>
        </w:pPr>
        <w:r w:rsidRPr="00FC1E60">
          <w:rPr>
            <w:rStyle w:val="PageNumber"/>
            <w:sz w:val="20"/>
            <w:szCs w:val="20"/>
          </w:rPr>
          <w:fldChar w:fldCharType="begin"/>
        </w:r>
        <w:r w:rsidRPr="00FC1E60">
          <w:rPr>
            <w:rStyle w:val="PageNumber"/>
            <w:sz w:val="20"/>
            <w:szCs w:val="20"/>
          </w:rPr>
          <w:instrText xml:space="preserve"> PAGE </w:instrText>
        </w:r>
        <w:r w:rsidRPr="00FC1E60">
          <w:rPr>
            <w:rStyle w:val="PageNumber"/>
            <w:sz w:val="20"/>
            <w:szCs w:val="20"/>
          </w:rPr>
          <w:fldChar w:fldCharType="separate"/>
        </w:r>
        <w:r w:rsidRPr="00FC1E60">
          <w:rPr>
            <w:rStyle w:val="PageNumber"/>
            <w:noProof/>
            <w:sz w:val="20"/>
            <w:szCs w:val="20"/>
          </w:rPr>
          <w:t>2</w:t>
        </w:r>
        <w:r w:rsidRPr="00FC1E60">
          <w:rPr>
            <w:rStyle w:val="PageNumber"/>
            <w:sz w:val="20"/>
            <w:szCs w:val="20"/>
          </w:rPr>
          <w:fldChar w:fldCharType="end"/>
        </w:r>
      </w:p>
    </w:sdtContent>
  </w:sdt>
  <w:p w14:paraId="1A9218FF" w14:textId="77777777" w:rsidR="00FC1E60" w:rsidRPr="00FC1E60" w:rsidRDefault="00FC1E60" w:rsidP="000167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76198" w14:textId="77777777" w:rsidR="00107C13" w:rsidRDefault="00107C13" w:rsidP="0001675E">
      <w:r>
        <w:separator/>
      </w:r>
    </w:p>
  </w:footnote>
  <w:footnote w:type="continuationSeparator" w:id="0">
    <w:p w14:paraId="00B440F4" w14:textId="77777777" w:rsidR="00107C13" w:rsidRDefault="00107C13" w:rsidP="0001675E">
      <w:r>
        <w:continuationSeparator/>
      </w:r>
    </w:p>
  </w:footnote>
  <w:footnote w:id="1">
    <w:p w14:paraId="114DFF3E" w14:textId="52CAC89A" w:rsidR="00F565EE" w:rsidRDefault="00F565EE">
      <w:pPr>
        <w:pStyle w:val="FootnoteText"/>
      </w:pPr>
      <w:r>
        <w:rPr>
          <w:rStyle w:val="FootnoteReference"/>
        </w:rPr>
        <w:footnoteRef/>
      </w:r>
      <w:r>
        <w:t xml:space="preserve"> </w:t>
      </w:r>
      <w:r w:rsidR="00401F33" w:rsidRPr="00401F33">
        <w:t>I work on Dave’s Redistricting in Seattle, Washington, USA. I would like to thank Gregory Warrington – his early feedback helped me frame these ideas – and Jon Eguia – his patient, gracious feedback helped me develop them.</w:t>
      </w:r>
    </w:p>
  </w:footnote>
  <w:footnote w:id="2">
    <w:p w14:paraId="4A5326CE" w14:textId="77777777" w:rsidR="008D0B9F" w:rsidRDefault="008D0B9F" w:rsidP="008D0B9F">
      <w:pPr>
        <w:pStyle w:val="FootnoteText"/>
      </w:pPr>
      <w:r>
        <w:rPr>
          <w:rStyle w:val="FootnoteReference"/>
        </w:rPr>
        <w:footnoteRef/>
      </w:r>
      <w:r>
        <w:t xml:space="preserve"> Dave’s Redistricting (</w:t>
      </w:r>
      <w:hyperlink r:id="rId1" w:history="1">
        <w:r w:rsidRPr="0088606B">
          <w:rPr>
            <w:rStyle w:val="Hyperlink"/>
          </w:rPr>
          <w:t>https://bit.ly/3drhkdj</w:t>
        </w:r>
      </w:hyperlink>
      <w:r>
        <w:t>) and District Builder (</w:t>
      </w:r>
      <w:hyperlink r:id="rId2" w:history="1">
        <w:r w:rsidRPr="0088606B">
          <w:rPr>
            <w:rStyle w:val="Hyperlink"/>
          </w:rPr>
          <w:t>https://bit.ly/3lF4f4O</w:t>
        </w:r>
      </w:hyperlink>
      <w:r>
        <w:t>).</w:t>
      </w:r>
    </w:p>
  </w:footnote>
  <w:footnote w:id="3">
    <w:p w14:paraId="73048CAB" w14:textId="77777777" w:rsidR="008D0B9F" w:rsidRDefault="008D0B9F" w:rsidP="008D0B9F">
      <w:pPr>
        <w:pStyle w:val="FootnoteText"/>
      </w:pPr>
      <w:r>
        <w:rPr>
          <w:rStyle w:val="FootnoteReference"/>
        </w:rPr>
        <w:footnoteRef/>
      </w:r>
      <w:r>
        <w:t xml:space="preserve"> Dave’s Redistricting and Plan Score (</w:t>
      </w:r>
      <w:hyperlink r:id="rId3" w:history="1">
        <w:r w:rsidRPr="0088606B">
          <w:rPr>
            <w:rStyle w:val="Hyperlink"/>
          </w:rPr>
          <w:t>https://bit.ly/335rgrd</w:t>
        </w:r>
      </w:hyperlink>
      <w:r>
        <w:t>). While Dave’s Redistricting uses one methodology for partisan metrics (</w:t>
      </w:r>
      <w:hyperlink r:id="rId4" w:history="1">
        <w:r w:rsidRPr="009D7C3F">
          <w:rPr>
            <w:rStyle w:val="Hyperlink"/>
          </w:rPr>
          <w:t>https://bit.ly/2ZlqVfl</w:t>
        </w:r>
      </w:hyperlink>
      <w:r>
        <w:t>) and Plan Score uses another (</w:t>
      </w:r>
      <w:hyperlink r:id="rId5" w:history="1">
        <w:r w:rsidRPr="009D7C3F">
          <w:rPr>
            <w:rStyle w:val="Hyperlink"/>
          </w:rPr>
          <w:t>https://bit.ly/3or5IgK</w:t>
        </w:r>
      </w:hyperlink>
      <w:r>
        <w:t>), they both use multiple elections and aggregate census block results up to district-by-district and statewide vote shares.</w:t>
      </w:r>
    </w:p>
  </w:footnote>
  <w:footnote w:id="4">
    <w:p w14:paraId="1095622D" w14:textId="77777777" w:rsidR="008D0B9F" w:rsidRDefault="008D0B9F" w:rsidP="008D0B9F">
      <w:pPr>
        <w:pStyle w:val="FootnoteText"/>
      </w:pPr>
      <w:r>
        <w:rPr>
          <w:rStyle w:val="FootnoteReference"/>
        </w:rPr>
        <w:footnoteRef/>
      </w:r>
      <w:r>
        <w:t xml:space="preserve"> Dave’s Redistricting supports </w:t>
      </w:r>
      <w:proofErr w:type="gramStart"/>
      <w:r>
        <w:t>all of</w:t>
      </w:r>
      <w:proofErr w:type="gramEnd"/>
      <w:r>
        <w:t xml:space="preserve"> these directly, except the qualitative considerations, of course.</w:t>
      </w:r>
    </w:p>
  </w:footnote>
  <w:footnote w:id="5">
    <w:p w14:paraId="4DE41B1C" w14:textId="77777777" w:rsidR="008D0B9F" w:rsidRDefault="008D0B9F" w:rsidP="008D0B9F">
      <w:pPr>
        <w:pStyle w:val="FootnoteText"/>
      </w:pPr>
      <w:r>
        <w:rPr>
          <w:rStyle w:val="FootnoteReference"/>
        </w:rPr>
        <w:footnoteRef/>
      </w:r>
      <w:r>
        <w:t xml:space="preserve"> Even something as conceptually simple as contiguity is sometimes non-trivial in real life. See the discussion of ‘operational contiguity’ in “Contiguity” (</w:t>
      </w:r>
      <w:hyperlink r:id="rId6" w:history="1">
        <w:r w:rsidRPr="000E644D">
          <w:rPr>
            <w:rStyle w:val="Hyperlink"/>
          </w:rPr>
          <w:t>https://bit.ly/2ZtmB0Q</w:t>
        </w:r>
      </w:hyperlink>
      <w:r>
        <w:t>).</w:t>
      </w:r>
    </w:p>
  </w:footnote>
  <w:footnote w:id="6">
    <w:p w14:paraId="42F0D4F1" w14:textId="77777777" w:rsidR="008D0B9F" w:rsidRDefault="008D0B9F" w:rsidP="008D0B9F">
      <w:pPr>
        <w:pStyle w:val="FootnoteText"/>
      </w:pPr>
      <w:r>
        <w:rPr>
          <w:rStyle w:val="FootnoteReference"/>
        </w:rPr>
        <w:footnoteRef/>
      </w:r>
      <w:r>
        <w:t xml:space="preserve"> Dave’s Redistricting computes </w:t>
      </w:r>
      <w:proofErr w:type="spellStart"/>
      <w:r>
        <w:t>Reock</w:t>
      </w:r>
      <w:proofErr w:type="spellEnd"/>
      <w:r>
        <w:t xml:space="preserve">, </w:t>
      </w:r>
      <w:proofErr w:type="spellStart"/>
      <w:r>
        <w:t>Polsby</w:t>
      </w:r>
      <w:proofErr w:type="spellEnd"/>
      <w:r>
        <w:t>–Popper, and “know it when you see it” compactness (</w:t>
      </w:r>
      <w:hyperlink r:id="rId7" w:history="1">
        <w:r w:rsidRPr="0088606B">
          <w:rPr>
            <w:rStyle w:val="Hyperlink"/>
          </w:rPr>
          <w:t>https://bit.ly/3Gdm8PU</w:t>
        </w:r>
      </w:hyperlink>
      <w:r>
        <w:t>).</w:t>
      </w:r>
    </w:p>
  </w:footnote>
  <w:footnote w:id="7">
    <w:p w14:paraId="2C25FE3D" w14:textId="77777777" w:rsidR="008D0B9F" w:rsidRDefault="008D0B9F" w:rsidP="008D0B9F">
      <w:pPr>
        <w:pStyle w:val="FootnoteText"/>
      </w:pPr>
      <w:r>
        <w:rPr>
          <w:rStyle w:val="FootnoteReference"/>
        </w:rPr>
        <w:footnoteRef/>
      </w:r>
      <w:r>
        <w:t xml:space="preserve"> For example, (Tufte 1973), (</w:t>
      </w:r>
      <w:proofErr w:type="spellStart"/>
      <w:r>
        <w:t>Grofman</w:t>
      </w:r>
      <w:proofErr w:type="spellEnd"/>
      <w:r>
        <w:t xml:space="preserve"> 1983), (McDonald et al. 2018), (</w:t>
      </w:r>
      <w:r w:rsidRPr="00FF780E">
        <w:t>Stephanopoulos and McGhee</w:t>
      </w:r>
      <w:r>
        <w:t xml:space="preserve"> 2018), (Wang 2016), (Wang et al. 2019), and (Warrington 2019), (Katz et al. 2020), and (Nagle and Ramsay 2021).</w:t>
      </w:r>
    </w:p>
  </w:footnote>
  <w:footnote w:id="8">
    <w:p w14:paraId="48973816" w14:textId="77777777" w:rsidR="008D0B9F" w:rsidRDefault="008D0B9F" w:rsidP="008D0B9F">
      <w:pPr>
        <w:pStyle w:val="FootnoteText"/>
      </w:pPr>
      <w:r>
        <w:rPr>
          <w:rStyle w:val="FootnoteReference"/>
        </w:rPr>
        <w:footnoteRef/>
      </w:r>
      <w:r>
        <w:t xml:space="preserve"> </w:t>
      </w:r>
      <w:r w:rsidRPr="00D11BA0">
        <w:t>Appendix 6</w:t>
      </w:r>
      <w:r>
        <w:t xml:space="preserve"> of Moon </w:t>
      </w:r>
      <w:proofErr w:type="spellStart"/>
      <w:r>
        <w:t>Duchin’s</w:t>
      </w:r>
      <w:proofErr w:type="spellEnd"/>
      <w:r>
        <w:t xml:space="preserve"> </w:t>
      </w:r>
      <w:r w:rsidRPr="00D11BA0">
        <w:t>report for the Pennsylvania Supreme Court</w:t>
      </w:r>
      <w:r>
        <w:t xml:space="preserve"> (</w:t>
      </w:r>
      <w:hyperlink r:id="rId8" w:history="1">
        <w:r w:rsidRPr="000E644D">
          <w:rPr>
            <w:rStyle w:val="Hyperlink"/>
          </w:rPr>
          <w:t>https://bit.ly/3xm1v0S</w:t>
        </w:r>
      </w:hyperlink>
      <w:r>
        <w:t>) and (Wang et al, 2021) are the bases for the county-splitting and community-splitting metrics in Dave’s Redistricting, respectively.</w:t>
      </w:r>
    </w:p>
  </w:footnote>
  <w:footnote w:id="9">
    <w:p w14:paraId="6C4F7A3B" w14:textId="77777777" w:rsidR="008D0B9F" w:rsidRDefault="008D0B9F" w:rsidP="008D0B9F">
      <w:pPr>
        <w:pStyle w:val="FootnoteText"/>
      </w:pPr>
      <w:r>
        <w:rPr>
          <w:rStyle w:val="FootnoteReference"/>
        </w:rPr>
        <w:footnoteRef/>
      </w:r>
      <w:r>
        <w:t xml:space="preserve"> </w:t>
      </w:r>
      <w:r w:rsidRPr="0034283F">
        <w:t xml:space="preserve">Dave's Redistricting </w:t>
      </w:r>
      <w:r>
        <w:t>incorporates some heuristics for evaluating the opportunity for minority representation,</w:t>
      </w:r>
      <w:r w:rsidRPr="0034283F">
        <w:t xml:space="preserve"> </w:t>
      </w:r>
      <w:r>
        <w:t>based on</w:t>
      </w:r>
      <w:r w:rsidRPr="0034283F">
        <w:t xml:space="preserve"> Moon </w:t>
      </w:r>
      <w:proofErr w:type="spellStart"/>
      <w:r w:rsidRPr="0034283F">
        <w:t>Duchin's</w:t>
      </w:r>
      <w:proofErr w:type="spellEnd"/>
      <w:r w:rsidRPr="0034283F">
        <w:t xml:space="preserve"> amicus brief submitted for the Bethune-Hill v. VA case (</w:t>
      </w:r>
      <w:hyperlink r:id="rId9" w:history="1">
        <w:r w:rsidRPr="000E644D">
          <w:rPr>
            <w:rStyle w:val="Hyperlink"/>
          </w:rPr>
          <w:t>https://bit.ly/32AkAkz</w:t>
        </w:r>
      </w:hyperlink>
      <w:r w:rsidRPr="0034283F">
        <w:t>).</w:t>
      </w:r>
    </w:p>
  </w:footnote>
  <w:footnote w:id="10">
    <w:p w14:paraId="40112C42" w14:textId="77777777" w:rsidR="008D0B9F" w:rsidRDefault="008D0B9F" w:rsidP="008D0B9F">
      <w:pPr>
        <w:pStyle w:val="FootnoteText"/>
      </w:pPr>
      <w:r>
        <w:rPr>
          <w:rStyle w:val="FootnoteReference"/>
        </w:rPr>
        <w:footnoteRef/>
      </w:r>
      <w:r>
        <w:t xml:space="preserve"> </w:t>
      </w:r>
      <w:proofErr w:type="gramStart"/>
      <w:r>
        <w:t>All of</w:t>
      </w:r>
      <w:proofErr w:type="gramEnd"/>
      <w:r>
        <w:t xml:space="preserve"> these metrics can be computed from only a statewide vote share and district-by-district vote shares. Dave’s Redistricting reports them all, as well as Jon </w:t>
      </w:r>
      <w:proofErr w:type="spellStart"/>
      <w:r>
        <w:t>Eguia’s</w:t>
      </w:r>
      <w:proofErr w:type="spellEnd"/>
      <w:r>
        <w:t xml:space="preserve"> measure of geographic bias which requires precinct-by-precinct election data (</w:t>
      </w:r>
      <w:hyperlink r:id="rId10" w:history="1">
        <w:r w:rsidRPr="0088606B">
          <w:rPr>
            <w:rStyle w:val="Hyperlink"/>
          </w:rPr>
          <w:t>https://bit.ly/3IpfF6h</w:t>
        </w:r>
      </w:hyperlink>
      <w:r>
        <w:t>). Plan Score calculates the efficiency gap, partisan bias, mean–median, and declination.</w:t>
      </w:r>
    </w:p>
  </w:footnote>
  <w:footnote w:id="11">
    <w:p w14:paraId="26F149CC" w14:textId="5C9F3484" w:rsidR="0096183E" w:rsidRDefault="0096183E">
      <w:pPr>
        <w:pStyle w:val="FootnoteText"/>
      </w:pPr>
      <w:r>
        <w:rPr>
          <w:rStyle w:val="FootnoteReference"/>
        </w:rPr>
        <w:footnoteRef/>
      </w:r>
      <w:r>
        <w:t xml:space="preserve"> Following (Nagle &amp; Ramsay 2021), I use the simplified form of the efficiency gap which assumes equal turnout (</w:t>
      </w:r>
      <w:r w:rsidRPr="00EF1E86">
        <w:t xml:space="preserve">Stephanopoulos </w:t>
      </w:r>
      <w:r>
        <w:t xml:space="preserve">&amp; </w:t>
      </w:r>
      <w:r w:rsidRPr="00EF1E86">
        <w:t>McGhee</w:t>
      </w:r>
      <w:r>
        <w:t xml:space="preserve"> 2018, 18). This is what Dave’s Redistricting uses as well.</w:t>
      </w:r>
    </w:p>
  </w:footnote>
  <w:footnote w:id="12">
    <w:p w14:paraId="6DDBBF82" w14:textId="77777777" w:rsidR="008D0B9F" w:rsidRDefault="008D0B9F" w:rsidP="008D0B9F">
      <w:pPr>
        <w:pStyle w:val="FootnoteText"/>
      </w:pPr>
      <w:r>
        <w:rPr>
          <w:rStyle w:val="FootnoteReference"/>
        </w:rPr>
        <w:footnoteRef/>
      </w:r>
      <w:r>
        <w:t xml:space="preserve"> For example, Dave Wasserman at The Cook Political Report (</w:t>
      </w:r>
      <w:hyperlink r:id="rId11" w:history="1">
        <w:r w:rsidRPr="0011296F">
          <w:rPr>
            <w:rStyle w:val="Hyperlink"/>
          </w:rPr>
          <w:t>https://www.cookpolitical.com/about/staff/david-wasserman</w:t>
        </w:r>
      </w:hyperlink>
      <w:r>
        <w:t>).</w:t>
      </w:r>
    </w:p>
  </w:footnote>
  <w:footnote w:id="13">
    <w:p w14:paraId="224ECEC5" w14:textId="77777777" w:rsidR="008D0B9F" w:rsidRDefault="008D0B9F" w:rsidP="008D0B9F">
      <w:pPr>
        <w:pStyle w:val="FootnoteText"/>
      </w:pPr>
      <w:r>
        <w:rPr>
          <w:rStyle w:val="FootnoteReference"/>
        </w:rPr>
        <w:footnoteRef/>
      </w:r>
      <w:r>
        <w:t xml:space="preserve"> Florida State Constitution (</w:t>
      </w:r>
      <w:hyperlink r:id="rId12" w:history="1">
        <w:r w:rsidRPr="00741012">
          <w:rPr>
            <w:rStyle w:val="Hyperlink"/>
          </w:rPr>
          <w:t>https://bit.ly/3y2d0dX</w:t>
        </w:r>
      </w:hyperlink>
      <w:r>
        <w:t>)</w:t>
      </w:r>
    </w:p>
  </w:footnote>
  <w:footnote w:id="14">
    <w:p w14:paraId="445F2ED0" w14:textId="77777777" w:rsidR="008D0B9F" w:rsidRDefault="008D0B9F" w:rsidP="008D0B9F">
      <w:pPr>
        <w:pStyle w:val="FootnoteText"/>
      </w:pPr>
      <w:r>
        <w:rPr>
          <w:rStyle w:val="FootnoteReference"/>
        </w:rPr>
        <w:footnoteRef/>
      </w:r>
      <w:r>
        <w:t xml:space="preserve"> Michigan State Constitution (</w:t>
      </w:r>
      <w:hyperlink r:id="rId13" w:history="1">
        <w:r w:rsidRPr="00741012">
          <w:rPr>
            <w:rStyle w:val="Hyperlink"/>
          </w:rPr>
          <w:t>https://bit.ly/3ExfgfJ</w:t>
        </w:r>
      </w:hyperlink>
      <w:r>
        <w:t>)</w:t>
      </w:r>
    </w:p>
  </w:footnote>
  <w:footnote w:id="15">
    <w:p w14:paraId="1293B3D6" w14:textId="77777777" w:rsidR="008D0B9F" w:rsidRDefault="008D0B9F" w:rsidP="008D0B9F">
      <w:pPr>
        <w:pStyle w:val="FootnoteText"/>
      </w:pPr>
      <w:r>
        <w:rPr>
          <w:rStyle w:val="FootnoteReference"/>
        </w:rPr>
        <w:footnoteRef/>
      </w:r>
      <w:r>
        <w:t xml:space="preserve"> Dave’s Redistricting alone has this level of usage.</w:t>
      </w:r>
    </w:p>
  </w:footnote>
  <w:footnote w:id="16">
    <w:p w14:paraId="6CDD80F6" w14:textId="77777777" w:rsidR="004E4DA0" w:rsidRDefault="004E4DA0" w:rsidP="004E4DA0">
      <w:pPr>
        <w:pStyle w:val="FootnoteText"/>
      </w:pPr>
      <w:r>
        <w:rPr>
          <w:rStyle w:val="FootnoteReference"/>
        </w:rPr>
        <w:footnoteRef/>
      </w:r>
      <w:r>
        <w:t xml:space="preserve"> King’s g</w:t>
      </w:r>
      <w:r w:rsidRPr="007F4255">
        <w:t>eometric seats bias (</w:t>
      </w:r>
      <m:oMath>
        <m:r>
          <w:rPr>
            <w:rFonts w:ascii="Cambria Math" w:hAnsi="Cambria Math"/>
          </w:rPr>
          <m:t>β</m:t>
        </m:r>
      </m:oMath>
      <w:r w:rsidRPr="007F4255">
        <w:t>)</w:t>
      </w:r>
      <w:r>
        <w:t xml:space="preserve"> measure.</w:t>
      </w:r>
    </w:p>
  </w:footnote>
  <w:footnote w:id="17">
    <w:p w14:paraId="08A94E10" w14:textId="77777777" w:rsidR="004E4DA0" w:rsidRDefault="004E4DA0" w:rsidP="004E4DA0">
      <w:pPr>
        <w:pStyle w:val="FootnoteText"/>
      </w:pPr>
      <w:r>
        <w:rPr>
          <w:rStyle w:val="FootnoteReference"/>
        </w:rPr>
        <w:footnoteRef/>
      </w:r>
      <w:r>
        <w:t xml:space="preserve"> D</w:t>
      </w:r>
      <w:r w:rsidRPr="00703E6A">
        <w:t xml:space="preserve">eclination </w:t>
      </w:r>
      <w:r>
        <w:t>(</w:t>
      </w:r>
      <m:oMath>
        <m:r>
          <w:rPr>
            <w:rFonts w:ascii="Cambria Math" w:hAnsi="Cambria Math"/>
          </w:rPr>
          <m:t>δ</m:t>
        </m:r>
      </m:oMath>
      <w:r>
        <w:t xml:space="preserve">) </w:t>
      </w:r>
      <w:r w:rsidRPr="00703E6A">
        <w:t>does provably</w:t>
      </w:r>
      <w:r>
        <w:t xml:space="preserve"> well on this (Warrington, 2019).</w:t>
      </w:r>
    </w:p>
  </w:footnote>
  <w:footnote w:id="18">
    <w:p w14:paraId="6224767B" w14:textId="77777777" w:rsidR="004E4DA0" w:rsidRDefault="004E4DA0" w:rsidP="004E4DA0">
      <w:pPr>
        <w:pStyle w:val="FootnoteText"/>
      </w:pPr>
      <w:r>
        <w:rPr>
          <w:rStyle w:val="FootnoteReference"/>
        </w:rPr>
        <w:footnoteRef/>
      </w:r>
      <w:r>
        <w:t xml:space="preserve"> See (Eguia, 2021).</w:t>
      </w:r>
    </w:p>
  </w:footnote>
  <w:footnote w:id="19">
    <w:p w14:paraId="2BE22F24" w14:textId="77777777" w:rsidR="004E4DA0" w:rsidRDefault="004E4DA0" w:rsidP="004E4DA0">
      <w:pPr>
        <w:pStyle w:val="FootnoteText"/>
      </w:pPr>
      <w:r>
        <w:rPr>
          <w:rStyle w:val="FootnoteReference"/>
        </w:rPr>
        <w:footnoteRef/>
      </w:r>
      <w:r>
        <w:t xml:space="preserve"> The principle that a plan should treat the two parties equally. See </w:t>
      </w:r>
      <w:hyperlink r:id="rId14" w:history="1">
        <w:r w:rsidRPr="003C305F">
          <w:rPr>
            <w:rStyle w:val="Hyperlink"/>
          </w:rPr>
          <w:t>https://bit.ly/3EUb3Dd</w:t>
        </w:r>
      </w:hyperlink>
      <w:r>
        <w:t>.</w:t>
      </w:r>
    </w:p>
  </w:footnote>
  <w:footnote w:id="20">
    <w:p w14:paraId="1F37457B" w14:textId="77777777" w:rsidR="004E4DA0" w:rsidRDefault="004E4DA0" w:rsidP="004E4DA0">
      <w:pPr>
        <w:pStyle w:val="FootnoteText"/>
      </w:pPr>
      <w:r>
        <w:rPr>
          <w:rStyle w:val="FootnoteReference"/>
        </w:rPr>
        <w:footnoteRef/>
      </w:r>
      <w:r>
        <w:t xml:space="preserve"> These apples-and-oranges categories cannot be meaningfully compared or combined.</w:t>
      </w:r>
    </w:p>
  </w:footnote>
  <w:footnote w:id="21">
    <w:p w14:paraId="14FE8118" w14:textId="583235FE" w:rsidR="00422525" w:rsidRDefault="00422525">
      <w:pPr>
        <w:pStyle w:val="FootnoteText"/>
      </w:pPr>
      <w:r>
        <w:rPr>
          <w:rStyle w:val="FootnoteReference"/>
        </w:rPr>
        <w:footnoteRef/>
      </w:r>
      <w:r>
        <w:t xml:space="preserve"> (Eguia 2021) introduces this concept using a jurisdictional benchmark.</w:t>
      </w:r>
    </w:p>
  </w:footnote>
  <w:footnote w:id="22">
    <w:p w14:paraId="26714B83" w14:textId="77777777" w:rsidR="004E4DA0" w:rsidRDefault="004E4DA0" w:rsidP="004E4DA0">
      <w:pPr>
        <w:pStyle w:val="FootnoteText"/>
      </w:pPr>
      <w:r>
        <w:rPr>
          <w:rStyle w:val="FootnoteReference"/>
        </w:rPr>
        <w:footnoteRef/>
      </w:r>
      <w:r>
        <w:t xml:space="preserve"> Some districts may be competitive and “flip” between parties, of course, but that is increasingly rare, and the general point holds.</w:t>
      </w:r>
    </w:p>
  </w:footnote>
  <w:footnote w:id="23">
    <w:p w14:paraId="636AB389" w14:textId="77777777" w:rsidR="004E4DA0" w:rsidRDefault="004E4DA0" w:rsidP="004E4DA0">
      <w:pPr>
        <w:pStyle w:val="FootnoteText"/>
      </w:pPr>
      <w:r>
        <w:rPr>
          <w:rStyle w:val="FootnoteReference"/>
        </w:rPr>
        <w:footnoteRef/>
      </w:r>
      <w:r>
        <w:t xml:space="preserve"> </w:t>
      </w:r>
      <w:r w:rsidRPr="00A31ED9">
        <w:t xml:space="preserve">One’s notion of how votes </w:t>
      </w:r>
      <w:r w:rsidRPr="00A31ED9">
        <w:rPr>
          <w:i/>
          <w:iCs/>
        </w:rPr>
        <w:t>should</w:t>
      </w:r>
      <w:r w:rsidRPr="00A31ED9">
        <w:t xml:space="preserve"> translate into seats won does not need to depend solely on an inferred seat-votes curve. It could depend on other factors such as the geographic or racial distribution of votes shares or of turnout across the state. I restrict my focus </w:t>
      </w:r>
      <w:r>
        <w:t>here to those that</w:t>
      </w:r>
      <w:r w:rsidRPr="00A31ED9">
        <w:t xml:space="preserve"> be computed from a statewide vote share and district-by-district vote shares.</w:t>
      </w:r>
    </w:p>
  </w:footnote>
  <w:footnote w:id="24">
    <w:p w14:paraId="448F15CA" w14:textId="09EAA7FC" w:rsidR="002D1863" w:rsidRDefault="002D1863">
      <w:pPr>
        <w:pStyle w:val="FootnoteText"/>
      </w:pPr>
      <w:r>
        <w:rPr>
          <w:rStyle w:val="FootnoteReference"/>
        </w:rPr>
        <w:footnoteRef/>
      </w:r>
      <w:r>
        <w:t xml:space="preserve"> (Eguia 2021)</w:t>
      </w:r>
    </w:p>
  </w:footnote>
  <w:footnote w:id="25">
    <w:p w14:paraId="0F766B89" w14:textId="3C04CC48" w:rsidR="004E4DA0" w:rsidRDefault="004E4DA0" w:rsidP="004E4DA0">
      <w:pPr>
        <w:pStyle w:val="FootnoteText"/>
      </w:pPr>
      <w:r>
        <w:rPr>
          <w:rStyle w:val="FootnoteReference"/>
        </w:rPr>
        <w:footnoteRef/>
      </w:r>
      <w:r>
        <w:t xml:space="preserve"> </w:t>
      </w:r>
      <w:r w:rsidR="00DC41C2">
        <w:t>I</w:t>
      </w:r>
      <w:r>
        <w:t xml:space="preserve"> use two-party Democratic vote shares by convention. Two-party Replication vote shares are simply </w:t>
      </w:r>
      <m:oMath>
        <m:r>
          <w:rPr>
            <w:rFonts w:ascii="Cambria Math" w:hAnsi="Cambria Math"/>
          </w:rPr>
          <m:t>1 – V</m:t>
        </m:r>
      </m:oMath>
      <w:r>
        <w:t>.</w:t>
      </w:r>
    </w:p>
  </w:footnote>
  <w:footnote w:id="26">
    <w:p w14:paraId="4A25FD18" w14:textId="77777777" w:rsidR="004E4DA0" w:rsidRDefault="004E4DA0" w:rsidP="004E4DA0">
      <w:pPr>
        <w:pStyle w:val="FootnoteText"/>
      </w:pPr>
      <w:r>
        <w:rPr>
          <w:rStyle w:val="FootnoteReference"/>
        </w:rPr>
        <w:footnoteRef/>
      </w:r>
      <w:r>
        <w:t xml:space="preserve"> John Nagle has called this &lt;V&gt; in the past.</w:t>
      </w:r>
    </w:p>
  </w:footnote>
  <w:footnote w:id="27">
    <w:p w14:paraId="5285D31A" w14:textId="655A3750" w:rsidR="002177C1" w:rsidRDefault="002177C1">
      <w:pPr>
        <w:pStyle w:val="FootnoteText"/>
      </w:pPr>
      <w:r>
        <w:rPr>
          <w:rStyle w:val="FootnoteReference"/>
        </w:rPr>
        <w:footnoteRef/>
      </w:r>
      <w:r>
        <w:t xml:space="preserve"> This is essentially the same formula as (Eguia 2021, 7) with different notation.</w:t>
      </w:r>
    </w:p>
  </w:footnote>
  <w:footnote w:id="28">
    <w:p w14:paraId="125D4C92" w14:textId="088B6110" w:rsidR="00C32D02" w:rsidRDefault="00C32D02" w:rsidP="00C32D02">
      <w:pPr>
        <w:pStyle w:val="FootnoteText"/>
      </w:pPr>
      <w:r>
        <w:rPr>
          <w:rStyle w:val="FootnoteReference"/>
        </w:rPr>
        <w:footnoteRef/>
      </w:r>
      <w:r>
        <w:t xml:space="preserve"> Jon Eguia has pointed out</w:t>
      </w:r>
      <w:r w:rsidR="00594351">
        <w:t>: “T</w:t>
      </w:r>
      <w:r>
        <w:t xml:space="preserve">his </w:t>
      </w:r>
      <w:r w:rsidRPr="00C32D02">
        <w:t xml:space="preserve">notion of </w:t>
      </w:r>
      <w:r>
        <w:t>the</w:t>
      </w:r>
      <w:r w:rsidRPr="00C32D02">
        <w:t xml:space="preserve"> ideal number of seats requires that each vote count equally, regardless of who casts it and where. </w:t>
      </w:r>
      <w:r>
        <w:t>T</w:t>
      </w:r>
      <w:r w:rsidRPr="00C32D02">
        <w:t xml:space="preserve">here are other notions of fairness leading to other </w:t>
      </w:r>
      <w:r w:rsidR="00594351">
        <w:t>‘</w:t>
      </w:r>
      <w:r w:rsidRPr="00C32D02">
        <w:t>ideals</w:t>
      </w:r>
      <w:r w:rsidR="00594351">
        <w:t>’</w:t>
      </w:r>
      <w:r w:rsidRPr="00C32D02">
        <w:t xml:space="preserve"> about seat outcomes. For instance, under the VRA, or under the Northern Ireland Good Friday Accords, </w:t>
      </w:r>
      <w:r w:rsidRPr="00C32D02">
        <w:rPr>
          <w:i/>
          <w:iCs/>
        </w:rPr>
        <w:t>who</w:t>
      </w:r>
      <w:r w:rsidRPr="00C32D02">
        <w:t xml:space="preserve"> casts each vote matters </w:t>
      </w:r>
      <w:r>
        <w:t>when determining</w:t>
      </w:r>
      <w:r w:rsidRPr="00C32D02">
        <w:t xml:space="preserve"> whether an outcome is fair, since group representation of distinct ethnic groups is deemed essential to fairness. </w:t>
      </w:r>
      <w:r>
        <w:t>Similarly, u</w:t>
      </w:r>
      <w:r w:rsidRPr="00C32D02">
        <w:t>nder much of the US Democratic tradition</w:t>
      </w:r>
      <w:r>
        <w:t xml:space="preserve"> –</w:t>
      </w:r>
      <w:r w:rsidRPr="00C32D02">
        <w:t xml:space="preserve"> including most first State constitutions</w:t>
      </w:r>
      <w:r>
        <w:t xml:space="preserve"> -- </w:t>
      </w:r>
      <w:r>
        <w:rPr>
          <w:i/>
          <w:iCs/>
        </w:rPr>
        <w:t>where</w:t>
      </w:r>
      <w:r w:rsidRPr="00C32D02">
        <w:t xml:space="preserve"> a vote was cast </w:t>
      </w:r>
      <w:r>
        <w:t xml:space="preserve">also </w:t>
      </w:r>
      <w:r w:rsidRPr="00C32D02">
        <w:t>mattered, since representation to state assemblies was by county</w:t>
      </w:r>
      <w:r>
        <w:t>. (W</w:t>
      </w:r>
      <w:r w:rsidRPr="00C32D02">
        <w:t>here a vote is cast is still essential to the US Senate and the US Electoral College</w:t>
      </w:r>
      <w:r>
        <w:t>, of course.</w:t>
      </w:r>
      <w:r w:rsidRPr="00C32D02">
        <w:t xml:space="preserve">) </w:t>
      </w:r>
      <w:r>
        <w:t xml:space="preserve">Finally, </w:t>
      </w:r>
      <w:r w:rsidR="00D1537C">
        <w:t>SCOTUS has explicitly rejected this notion of fairness.</w:t>
      </w:r>
      <w:r w:rsidR="00EC1AF8">
        <w:t>”</w:t>
      </w:r>
      <w:r w:rsidR="007168B2">
        <w:t xml:space="preserve"> </w:t>
      </w:r>
      <w:r w:rsidR="00EC1AF8">
        <w:t>Since my</w:t>
      </w:r>
      <w:r w:rsidR="007168B2">
        <w:t xml:space="preserve"> focus is on advantage </w:t>
      </w:r>
      <w:r w:rsidR="00EC1AF8">
        <w:rPr>
          <w:i/>
          <w:iCs/>
        </w:rPr>
        <w:t xml:space="preserve">in the </w:t>
      </w:r>
      <w:r w:rsidR="00EC1AF8" w:rsidRPr="00EC1AF8">
        <w:rPr>
          <w:i/>
          <w:iCs/>
        </w:rPr>
        <w:t>legislat</w:t>
      </w:r>
      <w:r w:rsidR="00EC1AF8">
        <w:rPr>
          <w:i/>
          <w:iCs/>
        </w:rPr>
        <w:t>ive body</w:t>
      </w:r>
      <w:r w:rsidR="00EC1AF8">
        <w:t xml:space="preserve"> </w:t>
      </w:r>
      <w:r w:rsidR="007168B2" w:rsidRPr="00EC1AF8">
        <w:t>as</w:t>
      </w:r>
      <w:r w:rsidR="007168B2">
        <w:t xml:space="preserve"> opposed to fairness</w:t>
      </w:r>
      <w:r w:rsidR="00EC1AF8">
        <w:t xml:space="preserve"> though, a </w:t>
      </w:r>
      <w:proofErr w:type="gramStart"/>
      <w:r w:rsidR="00EC1AF8">
        <w:t>seats</w:t>
      </w:r>
      <w:proofErr w:type="gramEnd"/>
      <w:r w:rsidR="00EC1AF8">
        <w:t>–votes ideal is the right benchmark</w:t>
      </w:r>
      <w:r w:rsidR="007168B2">
        <w:t>.</w:t>
      </w:r>
    </w:p>
  </w:footnote>
  <w:footnote w:id="29">
    <w:p w14:paraId="2E6B5E8E" w14:textId="77777777" w:rsidR="004E4DA0" w:rsidRDefault="004E4DA0" w:rsidP="004E4DA0">
      <w:pPr>
        <w:pStyle w:val="FootnoteText"/>
      </w:pPr>
      <w:r>
        <w:rPr>
          <w:rStyle w:val="FootnoteReference"/>
        </w:rPr>
        <w:footnoteRef/>
      </w:r>
      <w:r>
        <w:t xml:space="preserve"> In programming terms, we call this the return type of the function.</w:t>
      </w:r>
    </w:p>
  </w:footnote>
  <w:footnote w:id="30">
    <w:p w14:paraId="68174972" w14:textId="77777777" w:rsidR="004E4DA0" w:rsidRDefault="004E4DA0" w:rsidP="004E4DA0">
      <w:pPr>
        <w:pStyle w:val="FootnoteText"/>
      </w:pPr>
      <w:r>
        <w:rPr>
          <w:rStyle w:val="FootnoteReference"/>
        </w:rPr>
        <w:footnoteRef/>
      </w:r>
      <w:r>
        <w:t xml:space="preserve"> Dave’s Redistricting uses John Nagle’s methodology of fractional seat probabilities described in </w:t>
      </w:r>
      <w:hyperlink r:id="rId15" w:history="1">
        <w:r w:rsidRPr="00983773">
          <w:rPr>
            <w:rStyle w:val="Hyperlink"/>
          </w:rPr>
          <w:t>https://lipid.phys.cmu.edu/nagle/Technical/FractionalSeats2.pdf</w:t>
        </w:r>
      </w:hyperlink>
      <w:r>
        <w:t xml:space="preserve"> and a seats–votes curve inferred using proportional shift described in </w:t>
      </w:r>
      <w:hyperlink r:id="rId16" w:history="1">
        <w:r w:rsidRPr="00983773">
          <w:rPr>
            <w:rStyle w:val="Hyperlink"/>
          </w:rPr>
          <w:t>https://lipid.phys.cmu.edu/nagle/Technical/2019-04-19%20-%20Measuring%20Redistricting%20Bias%20&amp;%20Responsiveness.pdf</w:t>
        </w:r>
      </w:hyperlink>
      <w:r>
        <w:t>. Plan Score takes a directionally similar approach different in the details.</w:t>
      </w:r>
    </w:p>
  </w:footnote>
  <w:footnote w:id="31">
    <w:p w14:paraId="60698EC7" w14:textId="77777777" w:rsidR="004E4DA0" w:rsidRDefault="004E4DA0" w:rsidP="004E4DA0">
      <w:pPr>
        <w:pStyle w:val="FootnoteText"/>
      </w:pPr>
      <w:r>
        <w:rPr>
          <w:rStyle w:val="FootnoteReference"/>
        </w:rPr>
        <w:footnoteRef/>
      </w:r>
      <w:r>
        <w:t xml:space="preserve"> I’m </w:t>
      </w:r>
      <w:r w:rsidRPr="00465A1C">
        <w:rPr>
          <w:u w:val="single"/>
        </w:rPr>
        <w:t>not</w:t>
      </w:r>
      <w:r>
        <w:t xml:space="preserve"> making the argument that proportionality is the ideal seats–votes relationship!</w:t>
      </w:r>
    </w:p>
  </w:footnote>
  <w:footnote w:id="32">
    <w:p w14:paraId="4C974581" w14:textId="77777777" w:rsidR="004E4DA0" w:rsidRDefault="004E4DA0" w:rsidP="004E4DA0">
      <w:pPr>
        <w:pStyle w:val="FootnoteText"/>
      </w:pPr>
      <w:r>
        <w:rPr>
          <w:rStyle w:val="FootnoteReference"/>
        </w:rPr>
        <w:footnoteRef/>
      </w:r>
      <w:r>
        <w:t xml:space="preserve"> (</w:t>
      </w:r>
      <w:r w:rsidRPr="00EF1E86">
        <w:t xml:space="preserve">Stephanopoulos </w:t>
      </w:r>
      <w:r>
        <w:t xml:space="preserve">&amp; </w:t>
      </w:r>
      <w:r w:rsidRPr="00EF1E86">
        <w:t>McGhee</w:t>
      </w:r>
      <w:r>
        <w:t>, 2018): “</w:t>
      </w:r>
      <w:r w:rsidRPr="00EF1E86">
        <w:t xml:space="preserve">a fourth parameter is </w:t>
      </w:r>
      <w:r w:rsidRPr="00EF1E86">
        <w:rPr>
          <w:i/>
          <w:iCs/>
        </w:rPr>
        <w:t>empirical correspondence</w:t>
      </w:r>
      <w:r w:rsidRPr="00EF1E86">
        <w:t>. That is, the electoral ideal implied by a metric should not be too different from the American historical norm. Otherwise, the measure would imply that most American plans have been gerrymanders—and its adoption would be so disruptive as to be infeasible.</w:t>
      </w:r>
      <w:r>
        <w:t>”</w:t>
      </w:r>
    </w:p>
  </w:footnote>
  <w:footnote w:id="33">
    <w:p w14:paraId="62523E34" w14:textId="77777777" w:rsidR="004E4DA0" w:rsidRDefault="004E4DA0" w:rsidP="004E4DA0">
      <w:pPr>
        <w:pStyle w:val="FootnoteText"/>
      </w:pPr>
      <w:r>
        <w:rPr>
          <w:rStyle w:val="FootnoteReference"/>
        </w:rPr>
        <w:footnoteRef/>
      </w:r>
      <w:r>
        <w:t xml:space="preserve"> See (</w:t>
      </w:r>
      <w:proofErr w:type="spellStart"/>
      <w:r>
        <w:t>Grofman</w:t>
      </w:r>
      <w:proofErr w:type="spellEnd"/>
      <w:r>
        <w:t>, 1983) and (Tufte, 1973). Alternatively, the power of three can be replaced by any constant.</w:t>
      </w:r>
    </w:p>
  </w:footnote>
  <w:footnote w:id="34">
    <w:p w14:paraId="23CE5D59" w14:textId="1F5A61F4" w:rsidR="008E6C1B" w:rsidRDefault="008E6C1B">
      <w:pPr>
        <w:pStyle w:val="FootnoteText"/>
      </w:pPr>
      <w:r>
        <w:rPr>
          <w:rStyle w:val="FootnoteReference"/>
        </w:rPr>
        <w:footnoteRef/>
      </w:r>
      <w:r>
        <w:t xml:space="preserve"> As (Eguia 2021) does.</w:t>
      </w:r>
    </w:p>
  </w:footnote>
  <w:footnote w:id="35">
    <w:p w14:paraId="098E9F7B" w14:textId="77777777" w:rsidR="00D7213C" w:rsidRDefault="00D7213C" w:rsidP="00D7213C">
      <w:pPr>
        <w:pStyle w:val="FootnoteText"/>
      </w:pPr>
      <w:r>
        <w:rPr>
          <w:rStyle w:val="FootnoteReference"/>
        </w:rPr>
        <w:footnoteRef/>
      </w:r>
      <w:r>
        <w:t xml:space="preserve"> To make formulas easier to write, I express percentages in the body text as [0–1] fractions. Except as noted, in tables and figures, I show them as percentages. </w:t>
      </w:r>
    </w:p>
  </w:footnote>
  <w:footnote w:id="36">
    <w:p w14:paraId="6776CDAF" w14:textId="77777777" w:rsidR="00F64363" w:rsidRDefault="00F64363" w:rsidP="00F64363">
      <w:pPr>
        <w:pStyle w:val="FootnoteText"/>
      </w:pPr>
      <w:r>
        <w:rPr>
          <w:rStyle w:val="FootnoteReference"/>
        </w:rPr>
        <w:footnoteRef/>
      </w:r>
      <w:r>
        <w:t xml:space="preserve"> A partisan profile consists of a statewide vote share and district-by-district vote shares, using Democratic two-party votes by convention.</w:t>
      </w:r>
    </w:p>
  </w:footnote>
  <w:footnote w:id="37">
    <w:p w14:paraId="53BDA98F" w14:textId="77777777" w:rsidR="00F64363" w:rsidRDefault="00F64363" w:rsidP="00F64363">
      <w:pPr>
        <w:pStyle w:val="FootnoteText"/>
      </w:pPr>
      <w:r>
        <w:rPr>
          <w:rStyle w:val="FootnoteReference"/>
        </w:rPr>
        <w:footnoteRef/>
      </w:r>
      <w:r>
        <w:t xml:space="preserve"> I call them “2012” plans hereafter.</w:t>
      </w:r>
    </w:p>
  </w:footnote>
  <w:footnote w:id="38">
    <w:p w14:paraId="2E1EBDE0" w14:textId="77777777" w:rsidR="00F64363" w:rsidRDefault="00F64363" w:rsidP="00F64363">
      <w:r>
        <w:rPr>
          <w:rStyle w:val="FootnoteReference"/>
        </w:rPr>
        <w:footnoteRef/>
      </w:r>
      <w:r>
        <w:t xml:space="preserve"> </w:t>
      </w:r>
      <w:r>
        <w:rPr>
          <w:sz w:val="20"/>
          <w:szCs w:val="20"/>
        </w:rPr>
        <w:t xml:space="preserve">Supplementary Material is available in this </w:t>
      </w:r>
      <w:r w:rsidRPr="00CE1248">
        <w:rPr>
          <w:sz w:val="20"/>
          <w:szCs w:val="20"/>
        </w:rPr>
        <w:t xml:space="preserve">GitHub repository: </w:t>
      </w:r>
      <w:hyperlink r:id="rId17" w:history="1">
        <w:r w:rsidRPr="00CE1248">
          <w:rPr>
            <w:rStyle w:val="Hyperlink"/>
            <w:sz w:val="20"/>
            <w:szCs w:val="20"/>
          </w:rPr>
          <w:t>https://github.com/dra2020/bias-irl</w:t>
        </w:r>
      </w:hyperlink>
      <w:r w:rsidRPr="00CE1248">
        <w:rPr>
          <w:sz w:val="20"/>
          <w:szCs w:val="20"/>
        </w:rPr>
        <w:t>.</w:t>
      </w:r>
    </w:p>
  </w:footnote>
  <w:footnote w:id="39">
    <w:p w14:paraId="6C66F591" w14:textId="77777777" w:rsidR="00F64363" w:rsidRDefault="00F64363" w:rsidP="00F64363">
      <w:pPr>
        <w:pStyle w:val="FootnoteText"/>
      </w:pPr>
      <w:r>
        <w:rPr>
          <w:rStyle w:val="FootnoteReference"/>
        </w:rPr>
        <w:footnoteRef/>
      </w:r>
      <w:r>
        <w:t xml:space="preserve"> These maps can be found in the Official Maps collection of Dave’s Redistricting App: </w:t>
      </w:r>
      <w:hyperlink r:id="rId18" w:history="1">
        <w:r w:rsidRPr="00983773">
          <w:rPr>
            <w:rStyle w:val="Hyperlink"/>
          </w:rPr>
          <w:t>https://davesredistricting.org/</w:t>
        </w:r>
      </w:hyperlink>
      <w:r>
        <w:t>. The composite is described in “Election Composites” (</w:t>
      </w:r>
      <w:hyperlink r:id="rId19" w:history="1">
        <w:r w:rsidRPr="00DF19F7">
          <w:rPr>
            <w:rStyle w:val="Hyperlink"/>
          </w:rPr>
          <w:t>http://bit.ly/2SeQoDV</w:t>
        </w:r>
      </w:hyperlink>
      <w:r>
        <w:t>). The specific elections used in each state’s composite are documented in the Supplementary Material.</w:t>
      </w:r>
    </w:p>
  </w:footnote>
  <w:footnote w:id="40">
    <w:p w14:paraId="44E7A88C" w14:textId="77777777" w:rsidR="00F64363" w:rsidRDefault="00F64363" w:rsidP="00F64363">
      <w:pPr>
        <w:pStyle w:val="FootnoteText"/>
      </w:pPr>
      <w:r>
        <w:rPr>
          <w:rStyle w:val="FootnoteReference"/>
        </w:rPr>
        <w:footnoteRef/>
      </w:r>
      <w:r>
        <w:t xml:space="preserve"> More details may be found in Warrington, 2019.</w:t>
      </w:r>
    </w:p>
  </w:footnote>
  <w:footnote w:id="41">
    <w:p w14:paraId="0639D9DB" w14:textId="77777777" w:rsidR="00F64363" w:rsidRDefault="00F64363" w:rsidP="00F64363">
      <w:pPr>
        <w:pStyle w:val="FootnoteText"/>
      </w:pPr>
      <w:r>
        <w:rPr>
          <w:rStyle w:val="FootnoteReference"/>
        </w:rPr>
        <w:footnoteRef/>
      </w:r>
      <w:r>
        <w:t xml:space="preserve"> Warrington, 2019.</w:t>
      </w:r>
    </w:p>
  </w:footnote>
  <w:footnote w:id="42">
    <w:p w14:paraId="7467559C" w14:textId="77777777" w:rsidR="00F64363" w:rsidRDefault="00F64363" w:rsidP="00F64363">
      <w:pPr>
        <w:pStyle w:val="FootnoteText"/>
      </w:pPr>
      <w:r>
        <w:rPr>
          <w:rStyle w:val="FootnoteReference"/>
        </w:rPr>
        <w:footnoteRef/>
      </w:r>
      <w:r>
        <w:t xml:space="preserve"> Warrington, 2019.</w:t>
      </w:r>
    </w:p>
  </w:footnote>
  <w:footnote w:id="43">
    <w:p w14:paraId="3B4C4492" w14:textId="77777777" w:rsidR="00F64363" w:rsidRDefault="00F64363" w:rsidP="00F64363">
      <w:pPr>
        <w:pStyle w:val="FootnoteText"/>
      </w:pPr>
      <w:r>
        <w:rPr>
          <w:rStyle w:val="FootnoteReference"/>
        </w:rPr>
        <w:footnoteRef/>
      </w:r>
      <w:r>
        <w:t xml:space="preserve"> Warrington, 2019.</w:t>
      </w:r>
    </w:p>
  </w:footnote>
  <w:footnote w:id="44">
    <w:p w14:paraId="51894825" w14:textId="45F10300" w:rsidR="00A1530C" w:rsidRDefault="00A1530C" w:rsidP="00A1530C">
      <w:pPr>
        <w:pStyle w:val="FootnoteText"/>
      </w:pPr>
      <w:r>
        <w:rPr>
          <w:rStyle w:val="FootnoteReference"/>
        </w:rPr>
        <w:footnoteRef/>
      </w:r>
      <w:r>
        <w:t xml:space="preserve"> Even though their units of measure invalidate them as measures of </w:t>
      </w:r>
      <m:oMath>
        <m:r>
          <w:rPr>
            <w:rFonts w:ascii="Cambria Math" w:hAnsi="Cambria Math"/>
          </w:rPr>
          <m:t>PA|SV</m:t>
        </m:r>
      </m:oMath>
      <w:r>
        <w:t>, their measurements sometimes also violate the property that super-proportional outcomes can’t favor the minority party, e.g., suggesting that the IL 2012 plan favors Republicans.</w:t>
      </w:r>
    </w:p>
  </w:footnote>
  <w:footnote w:id="45">
    <w:p w14:paraId="1AA1A483" w14:textId="77777777" w:rsidR="00A1530C" w:rsidRDefault="00A1530C" w:rsidP="00A1530C">
      <w:pPr>
        <w:pStyle w:val="FootnoteText"/>
      </w:pPr>
      <w:r>
        <w:rPr>
          <w:rStyle w:val="FootnoteReference"/>
        </w:rPr>
        <w:footnoteRef/>
      </w:r>
      <w:r>
        <w:t xml:space="preserve"> See (Warrington, 2019) for a discussion of how well each of these metrics measure packing &amp; cracking.</w:t>
      </w:r>
    </w:p>
  </w:footnote>
  <w:footnote w:id="46">
    <w:p w14:paraId="4630ECBD" w14:textId="77777777" w:rsidR="00A1530C" w:rsidRDefault="00A1530C" w:rsidP="00A1530C">
      <w:pPr>
        <w:pStyle w:val="FootnoteText"/>
      </w:pPr>
      <w:r>
        <w:rPr>
          <w:rStyle w:val="FootnoteReference"/>
        </w:rPr>
        <w:footnoteRef/>
      </w:r>
      <w:r>
        <w:t xml:space="preserve"> The </w:t>
      </w:r>
      <w:r w:rsidRPr="007D7114">
        <w:rPr>
          <w:b/>
          <w:bCs/>
        </w:rPr>
        <w:t>point of symmetry</w:t>
      </w:r>
      <w:r>
        <w:t xml:space="preserve"> is the point </w:t>
      </w:r>
      <m:oMath>
        <m:r>
          <w:rPr>
            <w:rFonts w:ascii="Cambria Math" w:hAnsi="Cambria Math"/>
          </w:rPr>
          <m:t>(0.5,0.5)</m:t>
        </m:r>
      </m:oMath>
      <w:r>
        <w:t xml:space="preserve"> in the center of the seats–votes space. All symmetric seats–votes curves pass through this point.</w:t>
      </w:r>
    </w:p>
  </w:footnote>
  <w:footnote w:id="47">
    <w:p w14:paraId="5DF6DC82" w14:textId="77777777" w:rsidR="00A1530C" w:rsidRDefault="00A1530C" w:rsidP="00A1530C">
      <w:pPr>
        <w:pStyle w:val="FootnoteText"/>
      </w:pPr>
      <w:r>
        <w:rPr>
          <w:rStyle w:val="FootnoteReference"/>
        </w:rPr>
        <w:footnoteRef/>
      </w:r>
      <w:r>
        <w:t xml:space="preserve"> The </w:t>
      </w:r>
      <w:r w:rsidRPr="007D7114">
        <w:rPr>
          <w:b/>
          <w:bCs/>
        </w:rPr>
        <w:t>line of proportionality</w:t>
      </w:r>
      <w:r>
        <w:t xml:space="preserve"> is </w:t>
      </w:r>
      <m:oMath>
        <m:r>
          <w:rPr>
            <w:rFonts w:ascii="Cambria Math" w:hAnsi="Cambria Math"/>
          </w:rPr>
          <m:t>45°</m:t>
        </m:r>
      </m:oMath>
      <w:r>
        <w:t xml:space="preserve"> line through the point of symmetry where </w:t>
      </w:r>
      <m:oMath>
        <m:r>
          <w:rPr>
            <w:rFonts w:ascii="Cambria Math" w:hAnsi="Cambria Math"/>
          </w:rPr>
          <m:t>S=V</m:t>
        </m:r>
      </m:oMath>
      <w:r>
        <w:t>.</w:t>
      </w:r>
    </w:p>
  </w:footnote>
  <w:footnote w:id="48">
    <w:p w14:paraId="62765CDD" w14:textId="77777777" w:rsidR="00A1530C" w:rsidRDefault="00A1530C" w:rsidP="00A1530C">
      <w:pPr>
        <w:pStyle w:val="FootnoteText"/>
      </w:pPr>
      <w:r>
        <w:rPr>
          <w:rStyle w:val="FootnoteReference"/>
        </w:rPr>
        <w:footnoteRef/>
      </w:r>
      <w:r>
        <w:t xml:space="preserve"> </w:t>
      </w:r>
      <w:hyperlink r:id="rId20" w:history="1">
        <w:r w:rsidRPr="00D6614C">
          <w:rPr>
            <w:rStyle w:val="Hyperlink"/>
          </w:rPr>
          <w:t>https://en.wikipedia.org/wiki/Principle_of_locality</w:t>
        </w:r>
      </w:hyperlink>
      <w:r>
        <w:t xml:space="preserve"> </w:t>
      </w:r>
    </w:p>
  </w:footnote>
  <w:footnote w:id="49">
    <w:p w14:paraId="71D56ADD" w14:textId="77777777" w:rsidR="00A1530C" w:rsidRDefault="00A1530C" w:rsidP="00A1530C">
      <w:pPr>
        <w:pStyle w:val="FootnoteText"/>
      </w:pPr>
      <w:r>
        <w:rPr>
          <w:rStyle w:val="FootnoteReference"/>
        </w:rPr>
        <w:footnoteRef/>
      </w:r>
      <w:r>
        <w:t xml:space="preserve"> Because statewide vote shares tend to not fall much outside the range [0.4, 0.6], I only infer the points of the seats–votes curve for the range [0.25, 0.75].</w:t>
      </w:r>
    </w:p>
  </w:footnote>
  <w:footnote w:id="50">
    <w:p w14:paraId="2371A5A9" w14:textId="77777777" w:rsidR="00A1530C" w:rsidRDefault="00A1530C" w:rsidP="00A1530C">
      <w:pPr>
        <w:pStyle w:val="FootnoteText"/>
      </w:pPr>
      <w:r>
        <w:rPr>
          <w:rStyle w:val="FootnoteReference"/>
        </w:rPr>
        <w:footnoteRef/>
      </w:r>
      <w:r>
        <w:t xml:space="preserve"> I consider the </w:t>
      </w:r>
      <w:r>
        <w:rPr>
          <w:b/>
          <w:bCs/>
        </w:rPr>
        <w:t>zone of uncertainty</w:t>
      </w:r>
      <w:r>
        <w:t xml:space="preserve"> around the statewide vote share to be a 5% range that brackets it, because the average uncertainty for the seats–votes curves in (Nagle and Ramsay, 2021) was roughly 2%.</w:t>
      </w:r>
    </w:p>
  </w:footnote>
  <w:footnote w:id="51">
    <w:p w14:paraId="3EA0E8E7" w14:textId="77777777" w:rsidR="00455B4C" w:rsidRPr="00A61E5F" w:rsidRDefault="00455B4C" w:rsidP="00455B4C">
      <w:pPr>
        <w:pStyle w:val="FootnoteText"/>
      </w:pPr>
      <w:r>
        <w:rPr>
          <w:rStyle w:val="FootnoteReference"/>
        </w:rPr>
        <w:footnoteRef/>
      </w:r>
      <w:r>
        <w:t xml:space="preserve"> This is the measure of (dis)proportionality used in DRA in the </w:t>
      </w:r>
      <w:r>
        <w:rPr>
          <w:i/>
          <w:iCs/>
        </w:rPr>
        <w:t xml:space="preserve">Proportionality </w:t>
      </w:r>
      <w:r>
        <w:t xml:space="preserve">section of the </w:t>
      </w:r>
      <w:r>
        <w:rPr>
          <w:i/>
          <w:iCs/>
        </w:rPr>
        <w:t>Analyze</w:t>
      </w:r>
      <w:r>
        <w:t xml:space="preserve"> tab. It is implemented in </w:t>
      </w:r>
      <w:hyperlink r:id="rId21" w:history="1">
        <w:r w:rsidRPr="00003D20">
          <w:rPr>
            <w:rStyle w:val="Hyperlink"/>
          </w:rPr>
          <w:t>https://github.com/dra2020/dra-analytics</w:t>
        </w:r>
      </w:hyperlink>
      <w:r>
        <w:t>.</w:t>
      </w:r>
    </w:p>
  </w:footnote>
  <w:footnote w:id="52">
    <w:p w14:paraId="3E13CD9F" w14:textId="77777777" w:rsidR="00455B4C" w:rsidRDefault="00455B4C" w:rsidP="00455B4C">
      <w:pPr>
        <w:pStyle w:val="FootnoteText"/>
      </w:pPr>
      <w:r>
        <w:rPr>
          <w:rStyle w:val="FootnoteReference"/>
        </w:rPr>
        <w:footnoteRef/>
      </w:r>
      <w:r>
        <w:t xml:space="preserve"> This is implemented in </w:t>
      </w:r>
      <w:hyperlink r:id="rId22" w:history="1">
        <w:r w:rsidRPr="00003D20">
          <w:rPr>
            <w:rStyle w:val="Hyperlink"/>
          </w:rPr>
          <w:t>https://github.com/dra2020/dra-analytics</w:t>
        </w:r>
      </w:hyperlink>
      <w:r>
        <w:t xml:space="preserve"> as an “experimental” measure, and you can have it shown on the </w:t>
      </w:r>
      <w:r>
        <w:rPr>
          <w:i/>
          <w:iCs/>
        </w:rPr>
        <w:t xml:space="preserve">Advanced </w:t>
      </w:r>
      <w:r>
        <w:t>tab in Dave’s Redistricting on request.</w:t>
      </w:r>
    </w:p>
  </w:footnote>
  <w:footnote w:id="53">
    <w:p w14:paraId="18C40F3A" w14:textId="77777777" w:rsidR="00455B4C" w:rsidRDefault="00455B4C" w:rsidP="00455B4C">
      <w:pPr>
        <w:pStyle w:val="FootnoteText"/>
      </w:pPr>
      <w:r>
        <w:rPr>
          <w:rStyle w:val="FootnoteReference"/>
        </w:rPr>
        <w:footnoteRef/>
      </w:r>
      <w:r>
        <w:t xml:space="preserve"> Remember, I define “local” to be the 5% range that brackets the statewide vote share, i.e., +/– 2.5%.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B7794"/>
    <w:multiLevelType w:val="hybridMultilevel"/>
    <w:tmpl w:val="82045CFC"/>
    <w:lvl w:ilvl="0" w:tplc="E618B992">
      <w:numFmt w:val="bullet"/>
      <w:lvlText w:val=""/>
      <w:lvlJc w:val="left"/>
      <w:pPr>
        <w:ind w:left="720" w:hanging="360"/>
      </w:pPr>
      <w:rPr>
        <w:rFonts w:ascii="Symbol" w:eastAsiaTheme="minorEastAsia" w:hAnsi="Symbol"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1CA2152"/>
    <w:multiLevelType w:val="hybridMultilevel"/>
    <w:tmpl w:val="EFEA6A6C"/>
    <w:lvl w:ilvl="0" w:tplc="10DE5F2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F47889"/>
    <w:multiLevelType w:val="hybridMultilevel"/>
    <w:tmpl w:val="C4E05F3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830EFB"/>
    <w:multiLevelType w:val="hybridMultilevel"/>
    <w:tmpl w:val="A942FB86"/>
    <w:lvl w:ilvl="0" w:tplc="1220D3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90194C"/>
    <w:multiLevelType w:val="hybridMultilevel"/>
    <w:tmpl w:val="27D45892"/>
    <w:lvl w:ilvl="0" w:tplc="AF480A0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E34A1D"/>
    <w:multiLevelType w:val="hybridMultilevel"/>
    <w:tmpl w:val="DBEEFD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6837B2"/>
    <w:multiLevelType w:val="hybridMultilevel"/>
    <w:tmpl w:val="CD8CF1A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3216B24"/>
    <w:multiLevelType w:val="hybridMultilevel"/>
    <w:tmpl w:val="3D4CE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975574"/>
    <w:multiLevelType w:val="hybridMultilevel"/>
    <w:tmpl w:val="0D5CDB76"/>
    <w:lvl w:ilvl="0" w:tplc="8AA67A9A">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E05C72"/>
    <w:multiLevelType w:val="hybridMultilevel"/>
    <w:tmpl w:val="B71A1528"/>
    <w:lvl w:ilvl="0" w:tplc="A56EF3C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6A6659"/>
    <w:multiLevelType w:val="hybridMultilevel"/>
    <w:tmpl w:val="050618FC"/>
    <w:lvl w:ilvl="0" w:tplc="F4E6BDC6">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FA250E"/>
    <w:multiLevelType w:val="hybridMultilevel"/>
    <w:tmpl w:val="5F1C16F2"/>
    <w:lvl w:ilvl="0" w:tplc="C0EA6014">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176C61"/>
    <w:multiLevelType w:val="hybridMultilevel"/>
    <w:tmpl w:val="0D48D10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47F7049"/>
    <w:multiLevelType w:val="hybridMultilevel"/>
    <w:tmpl w:val="654A5E64"/>
    <w:lvl w:ilvl="0" w:tplc="E29E541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F50BDC"/>
    <w:multiLevelType w:val="hybridMultilevel"/>
    <w:tmpl w:val="1C8EBE18"/>
    <w:lvl w:ilvl="0" w:tplc="FC9C968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B66097"/>
    <w:multiLevelType w:val="hybridMultilevel"/>
    <w:tmpl w:val="47E6C750"/>
    <w:lvl w:ilvl="0" w:tplc="736EB3B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11777C"/>
    <w:multiLevelType w:val="hybridMultilevel"/>
    <w:tmpl w:val="6B18FDB2"/>
    <w:lvl w:ilvl="0" w:tplc="C58E68D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2721C2"/>
    <w:multiLevelType w:val="hybridMultilevel"/>
    <w:tmpl w:val="729685C0"/>
    <w:lvl w:ilvl="0" w:tplc="E186528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483FCF"/>
    <w:multiLevelType w:val="hybridMultilevel"/>
    <w:tmpl w:val="D66A4616"/>
    <w:lvl w:ilvl="0" w:tplc="37FAD02C">
      <w:start w:val="6"/>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DD3F92"/>
    <w:multiLevelType w:val="hybridMultilevel"/>
    <w:tmpl w:val="57FE31D0"/>
    <w:lvl w:ilvl="0" w:tplc="2F66B2F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1B0528"/>
    <w:multiLevelType w:val="hybridMultilevel"/>
    <w:tmpl w:val="C3E226DE"/>
    <w:lvl w:ilvl="0" w:tplc="E618B99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085A47"/>
    <w:multiLevelType w:val="hybridMultilevel"/>
    <w:tmpl w:val="1FB4954C"/>
    <w:lvl w:ilvl="0" w:tplc="7542C6C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F23EE1"/>
    <w:multiLevelType w:val="hybridMultilevel"/>
    <w:tmpl w:val="EBB29702"/>
    <w:lvl w:ilvl="0" w:tplc="D004E9E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7E09A7"/>
    <w:multiLevelType w:val="hybridMultilevel"/>
    <w:tmpl w:val="09CAFB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623874"/>
    <w:multiLevelType w:val="hybridMultilevel"/>
    <w:tmpl w:val="D45ED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21"/>
  </w:num>
  <w:num w:numId="4">
    <w:abstractNumId w:val="9"/>
  </w:num>
  <w:num w:numId="5">
    <w:abstractNumId w:val="14"/>
  </w:num>
  <w:num w:numId="6">
    <w:abstractNumId w:val="15"/>
  </w:num>
  <w:num w:numId="7">
    <w:abstractNumId w:val="13"/>
  </w:num>
  <w:num w:numId="8">
    <w:abstractNumId w:val="17"/>
  </w:num>
  <w:num w:numId="9">
    <w:abstractNumId w:val="3"/>
  </w:num>
  <w:num w:numId="10">
    <w:abstractNumId w:val="5"/>
  </w:num>
  <w:num w:numId="11">
    <w:abstractNumId w:val="4"/>
  </w:num>
  <w:num w:numId="12">
    <w:abstractNumId w:val="20"/>
  </w:num>
  <w:num w:numId="13">
    <w:abstractNumId w:val="12"/>
  </w:num>
  <w:num w:numId="14">
    <w:abstractNumId w:val="0"/>
  </w:num>
  <w:num w:numId="15">
    <w:abstractNumId w:val="24"/>
  </w:num>
  <w:num w:numId="16">
    <w:abstractNumId w:val="16"/>
  </w:num>
  <w:num w:numId="17">
    <w:abstractNumId w:val="7"/>
  </w:num>
  <w:num w:numId="18">
    <w:abstractNumId w:val="22"/>
  </w:num>
  <w:num w:numId="19">
    <w:abstractNumId w:val="2"/>
  </w:num>
  <w:num w:numId="20">
    <w:abstractNumId w:val="19"/>
  </w:num>
  <w:num w:numId="21">
    <w:abstractNumId w:val="23"/>
  </w:num>
  <w:num w:numId="22">
    <w:abstractNumId w:val="11"/>
  </w:num>
  <w:num w:numId="23">
    <w:abstractNumId w:val="6"/>
  </w:num>
  <w:num w:numId="24">
    <w:abstractNumId w:val="10"/>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B48"/>
    <w:rsid w:val="000024BF"/>
    <w:rsid w:val="0001675E"/>
    <w:rsid w:val="00031D10"/>
    <w:rsid w:val="00031D54"/>
    <w:rsid w:val="00042DB0"/>
    <w:rsid w:val="000455FA"/>
    <w:rsid w:val="000477B3"/>
    <w:rsid w:val="00051ED9"/>
    <w:rsid w:val="00060568"/>
    <w:rsid w:val="00060D40"/>
    <w:rsid w:val="00071C58"/>
    <w:rsid w:val="000769E9"/>
    <w:rsid w:val="0007768C"/>
    <w:rsid w:val="00083ED9"/>
    <w:rsid w:val="00087BBC"/>
    <w:rsid w:val="000B5EF9"/>
    <w:rsid w:val="000E5A18"/>
    <w:rsid w:val="000E6934"/>
    <w:rsid w:val="000F4B90"/>
    <w:rsid w:val="000F4B9F"/>
    <w:rsid w:val="000F6348"/>
    <w:rsid w:val="000F6B37"/>
    <w:rsid w:val="00101F1D"/>
    <w:rsid w:val="00107C13"/>
    <w:rsid w:val="00111CAF"/>
    <w:rsid w:val="00123DE6"/>
    <w:rsid w:val="00135B48"/>
    <w:rsid w:val="0014444D"/>
    <w:rsid w:val="00151DCE"/>
    <w:rsid w:val="001569F9"/>
    <w:rsid w:val="00167225"/>
    <w:rsid w:val="00170F84"/>
    <w:rsid w:val="00173C12"/>
    <w:rsid w:val="00177D44"/>
    <w:rsid w:val="001811EA"/>
    <w:rsid w:val="00193EE6"/>
    <w:rsid w:val="001A66AD"/>
    <w:rsid w:val="001B3979"/>
    <w:rsid w:val="001B6CA5"/>
    <w:rsid w:val="001D0617"/>
    <w:rsid w:val="001E0630"/>
    <w:rsid w:val="001E3027"/>
    <w:rsid w:val="001E5BCE"/>
    <w:rsid w:val="00204B7C"/>
    <w:rsid w:val="002123C0"/>
    <w:rsid w:val="00215C35"/>
    <w:rsid w:val="002177C1"/>
    <w:rsid w:val="00232DAF"/>
    <w:rsid w:val="002411C1"/>
    <w:rsid w:val="00251742"/>
    <w:rsid w:val="00274BCB"/>
    <w:rsid w:val="0028255F"/>
    <w:rsid w:val="002832DE"/>
    <w:rsid w:val="0028765A"/>
    <w:rsid w:val="002920A7"/>
    <w:rsid w:val="00297F03"/>
    <w:rsid w:val="002A39DA"/>
    <w:rsid w:val="002A707F"/>
    <w:rsid w:val="002B3D4C"/>
    <w:rsid w:val="002C0496"/>
    <w:rsid w:val="002D126A"/>
    <w:rsid w:val="002D1863"/>
    <w:rsid w:val="002E79F9"/>
    <w:rsid w:val="003205EE"/>
    <w:rsid w:val="003253A1"/>
    <w:rsid w:val="003406FA"/>
    <w:rsid w:val="00343E57"/>
    <w:rsid w:val="0034443E"/>
    <w:rsid w:val="00352A89"/>
    <w:rsid w:val="0037209B"/>
    <w:rsid w:val="003774D8"/>
    <w:rsid w:val="0038029B"/>
    <w:rsid w:val="00383C61"/>
    <w:rsid w:val="003876B6"/>
    <w:rsid w:val="00390806"/>
    <w:rsid w:val="00395C4D"/>
    <w:rsid w:val="00397CC3"/>
    <w:rsid w:val="003A46A8"/>
    <w:rsid w:val="003B1C6B"/>
    <w:rsid w:val="003B3B3F"/>
    <w:rsid w:val="003D2592"/>
    <w:rsid w:val="003E4300"/>
    <w:rsid w:val="003E63C5"/>
    <w:rsid w:val="003F727C"/>
    <w:rsid w:val="00401F33"/>
    <w:rsid w:val="00407C05"/>
    <w:rsid w:val="00422525"/>
    <w:rsid w:val="004338B2"/>
    <w:rsid w:val="00443346"/>
    <w:rsid w:val="004439FA"/>
    <w:rsid w:val="00454101"/>
    <w:rsid w:val="00455B4C"/>
    <w:rsid w:val="00463ABA"/>
    <w:rsid w:val="0047010F"/>
    <w:rsid w:val="00470E42"/>
    <w:rsid w:val="00481304"/>
    <w:rsid w:val="00482F2F"/>
    <w:rsid w:val="0048681A"/>
    <w:rsid w:val="00492FC6"/>
    <w:rsid w:val="004B17C1"/>
    <w:rsid w:val="004B53B9"/>
    <w:rsid w:val="004C50D5"/>
    <w:rsid w:val="004C5818"/>
    <w:rsid w:val="004D2313"/>
    <w:rsid w:val="004D352B"/>
    <w:rsid w:val="004D7CE1"/>
    <w:rsid w:val="004E4DA0"/>
    <w:rsid w:val="004E7394"/>
    <w:rsid w:val="004F66A9"/>
    <w:rsid w:val="005058E1"/>
    <w:rsid w:val="00514871"/>
    <w:rsid w:val="00514FF0"/>
    <w:rsid w:val="00523773"/>
    <w:rsid w:val="00533520"/>
    <w:rsid w:val="0053729F"/>
    <w:rsid w:val="005475EA"/>
    <w:rsid w:val="0055438F"/>
    <w:rsid w:val="00555A6F"/>
    <w:rsid w:val="00556EBB"/>
    <w:rsid w:val="00570A2B"/>
    <w:rsid w:val="005940FD"/>
    <w:rsid w:val="00594351"/>
    <w:rsid w:val="005A6A9F"/>
    <w:rsid w:val="005B11EC"/>
    <w:rsid w:val="005C1659"/>
    <w:rsid w:val="005E02C5"/>
    <w:rsid w:val="005E327C"/>
    <w:rsid w:val="005F5939"/>
    <w:rsid w:val="00600634"/>
    <w:rsid w:val="00606857"/>
    <w:rsid w:val="00614413"/>
    <w:rsid w:val="006216B8"/>
    <w:rsid w:val="00626D62"/>
    <w:rsid w:val="00633894"/>
    <w:rsid w:val="00634B2A"/>
    <w:rsid w:val="00651FC2"/>
    <w:rsid w:val="0065520F"/>
    <w:rsid w:val="006638FF"/>
    <w:rsid w:val="006902E9"/>
    <w:rsid w:val="00691383"/>
    <w:rsid w:val="006A01AA"/>
    <w:rsid w:val="006B2F9C"/>
    <w:rsid w:val="006B7D92"/>
    <w:rsid w:val="006C328B"/>
    <w:rsid w:val="006D4D8F"/>
    <w:rsid w:val="006D7020"/>
    <w:rsid w:val="006D7D7A"/>
    <w:rsid w:val="006F5914"/>
    <w:rsid w:val="00705167"/>
    <w:rsid w:val="0070598D"/>
    <w:rsid w:val="00707657"/>
    <w:rsid w:val="0071041C"/>
    <w:rsid w:val="007168B2"/>
    <w:rsid w:val="00733220"/>
    <w:rsid w:val="007336AA"/>
    <w:rsid w:val="00741E39"/>
    <w:rsid w:val="00746D99"/>
    <w:rsid w:val="00757CEC"/>
    <w:rsid w:val="007705D4"/>
    <w:rsid w:val="0077116F"/>
    <w:rsid w:val="00773CF4"/>
    <w:rsid w:val="00774413"/>
    <w:rsid w:val="00780E4D"/>
    <w:rsid w:val="00782E73"/>
    <w:rsid w:val="00786531"/>
    <w:rsid w:val="00791407"/>
    <w:rsid w:val="007A2F08"/>
    <w:rsid w:val="007B3DDA"/>
    <w:rsid w:val="007C7216"/>
    <w:rsid w:val="007F0EAC"/>
    <w:rsid w:val="007F224B"/>
    <w:rsid w:val="007F6B6B"/>
    <w:rsid w:val="0081499F"/>
    <w:rsid w:val="00817165"/>
    <w:rsid w:val="00836224"/>
    <w:rsid w:val="008400A6"/>
    <w:rsid w:val="00841027"/>
    <w:rsid w:val="008535E3"/>
    <w:rsid w:val="00867FF4"/>
    <w:rsid w:val="0087511B"/>
    <w:rsid w:val="00894661"/>
    <w:rsid w:val="00895565"/>
    <w:rsid w:val="008A0E88"/>
    <w:rsid w:val="008B4180"/>
    <w:rsid w:val="008B4904"/>
    <w:rsid w:val="008B554A"/>
    <w:rsid w:val="008C0D47"/>
    <w:rsid w:val="008C1A0F"/>
    <w:rsid w:val="008D0B9F"/>
    <w:rsid w:val="008D0DB6"/>
    <w:rsid w:val="008D5712"/>
    <w:rsid w:val="008D7084"/>
    <w:rsid w:val="008E26A2"/>
    <w:rsid w:val="008E2BA9"/>
    <w:rsid w:val="008E5F7F"/>
    <w:rsid w:val="008E6C1B"/>
    <w:rsid w:val="008F41E6"/>
    <w:rsid w:val="00900081"/>
    <w:rsid w:val="00916800"/>
    <w:rsid w:val="00925779"/>
    <w:rsid w:val="0093099B"/>
    <w:rsid w:val="00935F00"/>
    <w:rsid w:val="00947AF1"/>
    <w:rsid w:val="00950C27"/>
    <w:rsid w:val="00960500"/>
    <w:rsid w:val="0096183E"/>
    <w:rsid w:val="00962CD6"/>
    <w:rsid w:val="00970935"/>
    <w:rsid w:val="00970BC0"/>
    <w:rsid w:val="00983117"/>
    <w:rsid w:val="009A1040"/>
    <w:rsid w:val="009A1D3C"/>
    <w:rsid w:val="009A25CE"/>
    <w:rsid w:val="009B2610"/>
    <w:rsid w:val="009B7268"/>
    <w:rsid w:val="009C5D4D"/>
    <w:rsid w:val="009D3553"/>
    <w:rsid w:val="009D4054"/>
    <w:rsid w:val="009D6C6E"/>
    <w:rsid w:val="009E2643"/>
    <w:rsid w:val="009E2C9A"/>
    <w:rsid w:val="009F17E8"/>
    <w:rsid w:val="00A01197"/>
    <w:rsid w:val="00A1530C"/>
    <w:rsid w:val="00A2311C"/>
    <w:rsid w:val="00A25135"/>
    <w:rsid w:val="00A338B1"/>
    <w:rsid w:val="00A34327"/>
    <w:rsid w:val="00A36884"/>
    <w:rsid w:val="00A42C3A"/>
    <w:rsid w:val="00A507D9"/>
    <w:rsid w:val="00A64B95"/>
    <w:rsid w:val="00A6564B"/>
    <w:rsid w:val="00A7052F"/>
    <w:rsid w:val="00A77665"/>
    <w:rsid w:val="00A81C42"/>
    <w:rsid w:val="00A84C73"/>
    <w:rsid w:val="00A84DD6"/>
    <w:rsid w:val="00A95F93"/>
    <w:rsid w:val="00A96D7A"/>
    <w:rsid w:val="00AA4570"/>
    <w:rsid w:val="00AA4DAD"/>
    <w:rsid w:val="00AA678C"/>
    <w:rsid w:val="00AA7C51"/>
    <w:rsid w:val="00AC2719"/>
    <w:rsid w:val="00AC5095"/>
    <w:rsid w:val="00AC6249"/>
    <w:rsid w:val="00AD4B9F"/>
    <w:rsid w:val="00AD5C8E"/>
    <w:rsid w:val="00AE5169"/>
    <w:rsid w:val="00AF2FEF"/>
    <w:rsid w:val="00AF7A54"/>
    <w:rsid w:val="00B072DF"/>
    <w:rsid w:val="00B07906"/>
    <w:rsid w:val="00B12613"/>
    <w:rsid w:val="00B1512C"/>
    <w:rsid w:val="00B20589"/>
    <w:rsid w:val="00B21328"/>
    <w:rsid w:val="00B2743F"/>
    <w:rsid w:val="00B41F1D"/>
    <w:rsid w:val="00B51F41"/>
    <w:rsid w:val="00B524F3"/>
    <w:rsid w:val="00B5614E"/>
    <w:rsid w:val="00B61C44"/>
    <w:rsid w:val="00B64A41"/>
    <w:rsid w:val="00B71975"/>
    <w:rsid w:val="00B72635"/>
    <w:rsid w:val="00B72C0C"/>
    <w:rsid w:val="00B8412F"/>
    <w:rsid w:val="00BB751C"/>
    <w:rsid w:val="00BC0805"/>
    <w:rsid w:val="00BC2F03"/>
    <w:rsid w:val="00BC4C64"/>
    <w:rsid w:val="00BD1A78"/>
    <w:rsid w:val="00BD7CE0"/>
    <w:rsid w:val="00BE2416"/>
    <w:rsid w:val="00BE580B"/>
    <w:rsid w:val="00BE722C"/>
    <w:rsid w:val="00C0729E"/>
    <w:rsid w:val="00C11756"/>
    <w:rsid w:val="00C12C8E"/>
    <w:rsid w:val="00C13818"/>
    <w:rsid w:val="00C16A25"/>
    <w:rsid w:val="00C2584C"/>
    <w:rsid w:val="00C27568"/>
    <w:rsid w:val="00C32D02"/>
    <w:rsid w:val="00C4671E"/>
    <w:rsid w:val="00C51C17"/>
    <w:rsid w:val="00C644CB"/>
    <w:rsid w:val="00C73D06"/>
    <w:rsid w:val="00C7783F"/>
    <w:rsid w:val="00C83A68"/>
    <w:rsid w:val="00C87939"/>
    <w:rsid w:val="00C93995"/>
    <w:rsid w:val="00CA7127"/>
    <w:rsid w:val="00CB0602"/>
    <w:rsid w:val="00CB4A5F"/>
    <w:rsid w:val="00CB553D"/>
    <w:rsid w:val="00CC21C3"/>
    <w:rsid w:val="00CD0788"/>
    <w:rsid w:val="00CE54CD"/>
    <w:rsid w:val="00CF1A6C"/>
    <w:rsid w:val="00CF47D9"/>
    <w:rsid w:val="00CF4C14"/>
    <w:rsid w:val="00D01446"/>
    <w:rsid w:val="00D026AD"/>
    <w:rsid w:val="00D1537C"/>
    <w:rsid w:val="00D20930"/>
    <w:rsid w:val="00D272D9"/>
    <w:rsid w:val="00D27936"/>
    <w:rsid w:val="00D37158"/>
    <w:rsid w:val="00D37D3E"/>
    <w:rsid w:val="00D479F2"/>
    <w:rsid w:val="00D51977"/>
    <w:rsid w:val="00D56C36"/>
    <w:rsid w:val="00D612D4"/>
    <w:rsid w:val="00D6201D"/>
    <w:rsid w:val="00D633D9"/>
    <w:rsid w:val="00D64561"/>
    <w:rsid w:val="00D64E7A"/>
    <w:rsid w:val="00D7213C"/>
    <w:rsid w:val="00D723CD"/>
    <w:rsid w:val="00D81058"/>
    <w:rsid w:val="00D8221F"/>
    <w:rsid w:val="00D82F6E"/>
    <w:rsid w:val="00D8512F"/>
    <w:rsid w:val="00D91248"/>
    <w:rsid w:val="00D97F58"/>
    <w:rsid w:val="00DB24C1"/>
    <w:rsid w:val="00DB4E8C"/>
    <w:rsid w:val="00DC41C2"/>
    <w:rsid w:val="00DD5377"/>
    <w:rsid w:val="00DD7C50"/>
    <w:rsid w:val="00DE3D22"/>
    <w:rsid w:val="00E00985"/>
    <w:rsid w:val="00E05722"/>
    <w:rsid w:val="00E06687"/>
    <w:rsid w:val="00E06900"/>
    <w:rsid w:val="00E1086B"/>
    <w:rsid w:val="00E10F4C"/>
    <w:rsid w:val="00E12EF1"/>
    <w:rsid w:val="00E15059"/>
    <w:rsid w:val="00E2631E"/>
    <w:rsid w:val="00E26849"/>
    <w:rsid w:val="00E41E56"/>
    <w:rsid w:val="00E500FC"/>
    <w:rsid w:val="00E6055A"/>
    <w:rsid w:val="00E6383C"/>
    <w:rsid w:val="00E76B1A"/>
    <w:rsid w:val="00EA0FF3"/>
    <w:rsid w:val="00EB7243"/>
    <w:rsid w:val="00EC1AF8"/>
    <w:rsid w:val="00EC30A5"/>
    <w:rsid w:val="00EC5A5D"/>
    <w:rsid w:val="00EC7C75"/>
    <w:rsid w:val="00ED4F5E"/>
    <w:rsid w:val="00ED5175"/>
    <w:rsid w:val="00EE2BCF"/>
    <w:rsid w:val="00EF38BC"/>
    <w:rsid w:val="00F10213"/>
    <w:rsid w:val="00F17A1A"/>
    <w:rsid w:val="00F2601F"/>
    <w:rsid w:val="00F35F9A"/>
    <w:rsid w:val="00F4149C"/>
    <w:rsid w:val="00F426C6"/>
    <w:rsid w:val="00F55156"/>
    <w:rsid w:val="00F565EE"/>
    <w:rsid w:val="00F6315D"/>
    <w:rsid w:val="00F64363"/>
    <w:rsid w:val="00F66B37"/>
    <w:rsid w:val="00F73275"/>
    <w:rsid w:val="00F7594B"/>
    <w:rsid w:val="00F777D5"/>
    <w:rsid w:val="00F82657"/>
    <w:rsid w:val="00FA0677"/>
    <w:rsid w:val="00FB42FD"/>
    <w:rsid w:val="00FC1E60"/>
    <w:rsid w:val="00FC28CB"/>
    <w:rsid w:val="00FD0A3B"/>
    <w:rsid w:val="00FD3225"/>
    <w:rsid w:val="00FD35C2"/>
    <w:rsid w:val="00FE32F0"/>
    <w:rsid w:val="00FF0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E47DF4"/>
  <w15:chartTrackingRefBased/>
  <w15:docId w15:val="{5DD67035-72F5-8047-AE6D-1B2E2F360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75E"/>
    <w:pPr>
      <w:tabs>
        <w:tab w:val="left" w:pos="1440"/>
        <w:tab w:val="right" w:pos="9360"/>
      </w:tabs>
    </w:pPr>
    <w:rPr>
      <w:rFonts w:eastAsiaTheme="minorEastAsia"/>
    </w:rPr>
  </w:style>
  <w:style w:type="paragraph" w:styleId="Heading1">
    <w:name w:val="heading 1"/>
    <w:basedOn w:val="Normal"/>
    <w:next w:val="Normal"/>
    <w:link w:val="Heading1Char"/>
    <w:uiPriority w:val="9"/>
    <w:qFormat/>
    <w:rsid w:val="00E6055A"/>
    <w:pPr>
      <w:outlineLvl w:val="0"/>
    </w:pPr>
    <w:rPr>
      <w:b/>
      <w:bCs/>
      <w:sz w:val="36"/>
      <w:szCs w:val="36"/>
    </w:rPr>
  </w:style>
  <w:style w:type="paragraph" w:styleId="Heading2">
    <w:name w:val="heading 2"/>
    <w:basedOn w:val="Normal"/>
    <w:next w:val="Normal"/>
    <w:link w:val="Heading2Char"/>
    <w:uiPriority w:val="9"/>
    <w:unhideWhenUsed/>
    <w:qFormat/>
    <w:rsid w:val="00614413"/>
    <w:pPr>
      <w:keepNext/>
      <w:keepLines/>
      <w:spacing w:before="40"/>
      <w:outlineLvl w:val="1"/>
    </w:pPr>
    <w:rPr>
      <w:rFonts w:asciiTheme="majorHAnsi" w:eastAsiaTheme="majorEastAsia" w:hAnsiTheme="majorHAnsi" w:cstheme="majorBidi"/>
      <w:b/>
      <w:bCs/>
      <w:color w:val="000000" w:themeColor="text1"/>
      <w:sz w:val="28"/>
      <w:szCs w:val="28"/>
    </w:rPr>
  </w:style>
  <w:style w:type="paragraph" w:styleId="Heading3">
    <w:name w:val="heading 3"/>
    <w:basedOn w:val="Normal"/>
    <w:next w:val="Normal"/>
    <w:link w:val="Heading3Char"/>
    <w:uiPriority w:val="9"/>
    <w:unhideWhenUsed/>
    <w:qFormat/>
    <w:rsid w:val="006A01AA"/>
    <w:pPr>
      <w:keepNext/>
      <w:keepLines/>
      <w:spacing w:before="40"/>
      <w:outlineLvl w:val="2"/>
    </w:pPr>
    <w:rPr>
      <w:rFonts w:asciiTheme="majorHAnsi" w:eastAsiaTheme="majorEastAsia" w:hAnsiTheme="majorHAnsi" w:cstheme="majorHAnsi"/>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F6E"/>
    <w:pPr>
      <w:ind w:left="720"/>
      <w:contextualSpacing/>
    </w:pPr>
  </w:style>
  <w:style w:type="character" w:customStyle="1" w:styleId="Heading1Char">
    <w:name w:val="Heading 1 Char"/>
    <w:basedOn w:val="DefaultParagraphFont"/>
    <w:link w:val="Heading1"/>
    <w:uiPriority w:val="9"/>
    <w:rsid w:val="00E6055A"/>
    <w:rPr>
      <w:rFonts w:eastAsiaTheme="minorEastAsia"/>
      <w:b/>
      <w:bCs/>
      <w:sz w:val="36"/>
      <w:szCs w:val="36"/>
    </w:rPr>
  </w:style>
  <w:style w:type="character" w:customStyle="1" w:styleId="Heading2Char">
    <w:name w:val="Heading 2 Char"/>
    <w:basedOn w:val="DefaultParagraphFont"/>
    <w:link w:val="Heading2"/>
    <w:uiPriority w:val="9"/>
    <w:rsid w:val="00614413"/>
    <w:rPr>
      <w:rFonts w:asciiTheme="majorHAnsi" w:eastAsiaTheme="majorEastAsia" w:hAnsiTheme="majorHAnsi" w:cstheme="majorBidi"/>
      <w:b/>
      <w:bCs/>
      <w:color w:val="000000" w:themeColor="text1"/>
      <w:sz w:val="28"/>
      <w:szCs w:val="28"/>
    </w:rPr>
  </w:style>
  <w:style w:type="paragraph" w:styleId="NormalWeb">
    <w:name w:val="Normal (Web)"/>
    <w:basedOn w:val="Normal"/>
    <w:uiPriority w:val="99"/>
    <w:unhideWhenUsed/>
    <w:rsid w:val="006902E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C12C8E"/>
    <w:rPr>
      <w:color w:val="0563C1" w:themeColor="hyperlink"/>
      <w:u w:val="single"/>
    </w:rPr>
  </w:style>
  <w:style w:type="character" w:styleId="UnresolvedMention">
    <w:name w:val="Unresolved Mention"/>
    <w:basedOn w:val="DefaultParagraphFont"/>
    <w:uiPriority w:val="99"/>
    <w:semiHidden/>
    <w:unhideWhenUsed/>
    <w:rsid w:val="00C12C8E"/>
    <w:rPr>
      <w:color w:val="605E5C"/>
      <w:shd w:val="clear" w:color="auto" w:fill="E1DFDD"/>
    </w:rPr>
  </w:style>
  <w:style w:type="paragraph" w:styleId="FootnoteText">
    <w:name w:val="footnote text"/>
    <w:basedOn w:val="Normal"/>
    <w:link w:val="FootnoteTextChar"/>
    <w:uiPriority w:val="99"/>
    <w:unhideWhenUsed/>
    <w:rsid w:val="00CF4C14"/>
    <w:rPr>
      <w:sz w:val="20"/>
      <w:szCs w:val="20"/>
    </w:rPr>
  </w:style>
  <w:style w:type="character" w:customStyle="1" w:styleId="FootnoteTextChar">
    <w:name w:val="Footnote Text Char"/>
    <w:basedOn w:val="DefaultParagraphFont"/>
    <w:link w:val="FootnoteText"/>
    <w:uiPriority w:val="99"/>
    <w:rsid w:val="00CF4C14"/>
    <w:rPr>
      <w:sz w:val="20"/>
      <w:szCs w:val="20"/>
    </w:rPr>
  </w:style>
  <w:style w:type="character" w:styleId="FootnoteReference">
    <w:name w:val="footnote reference"/>
    <w:basedOn w:val="DefaultParagraphFont"/>
    <w:uiPriority w:val="99"/>
    <w:semiHidden/>
    <w:unhideWhenUsed/>
    <w:rsid w:val="00CF4C14"/>
    <w:rPr>
      <w:vertAlign w:val="superscript"/>
    </w:rPr>
  </w:style>
  <w:style w:type="paragraph" w:styleId="Header">
    <w:name w:val="header"/>
    <w:basedOn w:val="Normal"/>
    <w:link w:val="HeaderChar"/>
    <w:uiPriority w:val="99"/>
    <w:unhideWhenUsed/>
    <w:rsid w:val="00FC1E60"/>
    <w:pPr>
      <w:tabs>
        <w:tab w:val="center" w:pos="4680"/>
      </w:tabs>
    </w:pPr>
  </w:style>
  <w:style w:type="character" w:customStyle="1" w:styleId="HeaderChar">
    <w:name w:val="Header Char"/>
    <w:basedOn w:val="DefaultParagraphFont"/>
    <w:link w:val="Header"/>
    <w:uiPriority w:val="99"/>
    <w:rsid w:val="00FC1E60"/>
  </w:style>
  <w:style w:type="paragraph" w:styleId="Footer">
    <w:name w:val="footer"/>
    <w:basedOn w:val="Normal"/>
    <w:link w:val="FooterChar"/>
    <w:uiPriority w:val="99"/>
    <w:unhideWhenUsed/>
    <w:rsid w:val="00FC1E60"/>
    <w:pPr>
      <w:tabs>
        <w:tab w:val="center" w:pos="4680"/>
      </w:tabs>
    </w:pPr>
  </w:style>
  <w:style w:type="character" w:customStyle="1" w:styleId="FooterChar">
    <w:name w:val="Footer Char"/>
    <w:basedOn w:val="DefaultParagraphFont"/>
    <w:link w:val="Footer"/>
    <w:uiPriority w:val="99"/>
    <w:rsid w:val="00FC1E60"/>
  </w:style>
  <w:style w:type="character" w:styleId="PageNumber">
    <w:name w:val="page number"/>
    <w:basedOn w:val="DefaultParagraphFont"/>
    <w:uiPriority w:val="99"/>
    <w:semiHidden/>
    <w:unhideWhenUsed/>
    <w:rsid w:val="00FC1E60"/>
  </w:style>
  <w:style w:type="character" w:styleId="PlaceholderText">
    <w:name w:val="Placeholder Text"/>
    <w:basedOn w:val="DefaultParagraphFont"/>
    <w:uiPriority w:val="99"/>
    <w:semiHidden/>
    <w:rsid w:val="007F224B"/>
    <w:rPr>
      <w:color w:val="808080"/>
    </w:rPr>
  </w:style>
  <w:style w:type="paragraph" w:customStyle="1" w:styleId="Equation">
    <w:name w:val="Equation"/>
    <w:basedOn w:val="Normal"/>
    <w:qFormat/>
    <w:rsid w:val="00E1086B"/>
    <w:pPr>
      <w:spacing w:before="120" w:line="360" w:lineRule="auto"/>
    </w:pPr>
  </w:style>
  <w:style w:type="character" w:customStyle="1" w:styleId="Heading3Char">
    <w:name w:val="Heading 3 Char"/>
    <w:basedOn w:val="DefaultParagraphFont"/>
    <w:link w:val="Heading3"/>
    <w:uiPriority w:val="9"/>
    <w:rsid w:val="006A01AA"/>
    <w:rPr>
      <w:rFonts w:asciiTheme="majorHAnsi" w:eastAsiaTheme="majorEastAsia" w:hAnsiTheme="majorHAnsi" w:cstheme="majorHAnsi"/>
      <w:color w:val="000000" w:themeColor="text1"/>
      <w:u w:val="single"/>
    </w:rPr>
  </w:style>
  <w:style w:type="character" w:styleId="CommentReference">
    <w:name w:val="annotation reference"/>
    <w:basedOn w:val="DefaultParagraphFont"/>
    <w:uiPriority w:val="99"/>
    <w:semiHidden/>
    <w:unhideWhenUsed/>
    <w:rsid w:val="00177D44"/>
    <w:rPr>
      <w:sz w:val="16"/>
      <w:szCs w:val="16"/>
    </w:rPr>
  </w:style>
  <w:style w:type="paragraph" w:styleId="CommentText">
    <w:name w:val="annotation text"/>
    <w:basedOn w:val="Normal"/>
    <w:link w:val="CommentTextChar"/>
    <w:uiPriority w:val="99"/>
    <w:unhideWhenUsed/>
    <w:rsid w:val="00177D44"/>
    <w:rPr>
      <w:sz w:val="20"/>
      <w:szCs w:val="20"/>
    </w:rPr>
  </w:style>
  <w:style w:type="character" w:customStyle="1" w:styleId="CommentTextChar">
    <w:name w:val="Comment Text Char"/>
    <w:basedOn w:val="DefaultParagraphFont"/>
    <w:link w:val="CommentText"/>
    <w:uiPriority w:val="99"/>
    <w:rsid w:val="00177D44"/>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177D44"/>
    <w:rPr>
      <w:b/>
      <w:bCs/>
    </w:rPr>
  </w:style>
  <w:style w:type="character" w:customStyle="1" w:styleId="CommentSubjectChar">
    <w:name w:val="Comment Subject Char"/>
    <w:basedOn w:val="CommentTextChar"/>
    <w:link w:val="CommentSubject"/>
    <w:uiPriority w:val="99"/>
    <w:semiHidden/>
    <w:rsid w:val="00177D44"/>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830581">
      <w:bodyDiv w:val="1"/>
      <w:marLeft w:val="0"/>
      <w:marRight w:val="0"/>
      <w:marTop w:val="0"/>
      <w:marBottom w:val="0"/>
      <w:divBdr>
        <w:top w:val="none" w:sz="0" w:space="0" w:color="auto"/>
        <w:left w:val="none" w:sz="0" w:space="0" w:color="auto"/>
        <w:bottom w:val="none" w:sz="0" w:space="0" w:color="auto"/>
        <w:right w:val="none" w:sz="0" w:space="0" w:color="auto"/>
      </w:divBdr>
      <w:divsChild>
        <w:div w:id="1260525767">
          <w:marLeft w:val="0"/>
          <w:marRight w:val="0"/>
          <w:marTop w:val="0"/>
          <w:marBottom w:val="0"/>
          <w:divBdr>
            <w:top w:val="none" w:sz="0" w:space="0" w:color="auto"/>
            <w:left w:val="none" w:sz="0" w:space="0" w:color="auto"/>
            <w:bottom w:val="none" w:sz="0" w:space="0" w:color="auto"/>
            <w:right w:val="none" w:sz="0" w:space="0" w:color="auto"/>
          </w:divBdr>
          <w:divsChild>
            <w:div w:id="258566840">
              <w:marLeft w:val="0"/>
              <w:marRight w:val="0"/>
              <w:marTop w:val="0"/>
              <w:marBottom w:val="0"/>
              <w:divBdr>
                <w:top w:val="none" w:sz="0" w:space="0" w:color="auto"/>
                <w:left w:val="none" w:sz="0" w:space="0" w:color="auto"/>
                <w:bottom w:val="none" w:sz="0" w:space="0" w:color="auto"/>
                <w:right w:val="none" w:sz="0" w:space="0" w:color="auto"/>
              </w:divBdr>
              <w:divsChild>
                <w:div w:id="24549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820260">
      <w:bodyDiv w:val="1"/>
      <w:marLeft w:val="0"/>
      <w:marRight w:val="0"/>
      <w:marTop w:val="0"/>
      <w:marBottom w:val="0"/>
      <w:divBdr>
        <w:top w:val="none" w:sz="0" w:space="0" w:color="auto"/>
        <w:left w:val="none" w:sz="0" w:space="0" w:color="auto"/>
        <w:bottom w:val="none" w:sz="0" w:space="0" w:color="auto"/>
        <w:right w:val="none" w:sz="0" w:space="0" w:color="auto"/>
      </w:divBdr>
      <w:divsChild>
        <w:div w:id="184172565">
          <w:marLeft w:val="0"/>
          <w:marRight w:val="0"/>
          <w:marTop w:val="0"/>
          <w:marBottom w:val="0"/>
          <w:divBdr>
            <w:top w:val="none" w:sz="0" w:space="0" w:color="auto"/>
            <w:left w:val="none" w:sz="0" w:space="0" w:color="auto"/>
            <w:bottom w:val="none" w:sz="0" w:space="0" w:color="auto"/>
            <w:right w:val="none" w:sz="0" w:space="0" w:color="auto"/>
          </w:divBdr>
          <w:divsChild>
            <w:div w:id="1131947127">
              <w:marLeft w:val="0"/>
              <w:marRight w:val="0"/>
              <w:marTop w:val="0"/>
              <w:marBottom w:val="0"/>
              <w:divBdr>
                <w:top w:val="none" w:sz="0" w:space="0" w:color="auto"/>
                <w:left w:val="none" w:sz="0" w:space="0" w:color="auto"/>
                <w:bottom w:val="none" w:sz="0" w:space="0" w:color="auto"/>
                <w:right w:val="none" w:sz="0" w:space="0" w:color="auto"/>
              </w:divBdr>
              <w:divsChild>
                <w:div w:id="1768621435">
                  <w:marLeft w:val="0"/>
                  <w:marRight w:val="0"/>
                  <w:marTop w:val="0"/>
                  <w:marBottom w:val="0"/>
                  <w:divBdr>
                    <w:top w:val="none" w:sz="0" w:space="0" w:color="auto"/>
                    <w:left w:val="none" w:sz="0" w:space="0" w:color="auto"/>
                    <w:bottom w:val="none" w:sz="0" w:space="0" w:color="auto"/>
                    <w:right w:val="none" w:sz="0" w:space="0" w:color="auto"/>
                  </w:divBdr>
                  <w:divsChild>
                    <w:div w:id="96319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847436">
      <w:bodyDiv w:val="1"/>
      <w:marLeft w:val="0"/>
      <w:marRight w:val="0"/>
      <w:marTop w:val="0"/>
      <w:marBottom w:val="0"/>
      <w:divBdr>
        <w:top w:val="none" w:sz="0" w:space="0" w:color="auto"/>
        <w:left w:val="none" w:sz="0" w:space="0" w:color="auto"/>
        <w:bottom w:val="none" w:sz="0" w:space="0" w:color="auto"/>
        <w:right w:val="none" w:sz="0" w:space="0" w:color="auto"/>
      </w:divBdr>
      <w:divsChild>
        <w:div w:id="1357736541">
          <w:marLeft w:val="0"/>
          <w:marRight w:val="0"/>
          <w:marTop w:val="0"/>
          <w:marBottom w:val="0"/>
          <w:divBdr>
            <w:top w:val="none" w:sz="0" w:space="0" w:color="auto"/>
            <w:left w:val="none" w:sz="0" w:space="0" w:color="auto"/>
            <w:bottom w:val="none" w:sz="0" w:space="0" w:color="auto"/>
            <w:right w:val="none" w:sz="0" w:space="0" w:color="auto"/>
          </w:divBdr>
          <w:divsChild>
            <w:div w:id="377701092">
              <w:marLeft w:val="0"/>
              <w:marRight w:val="0"/>
              <w:marTop w:val="0"/>
              <w:marBottom w:val="0"/>
              <w:divBdr>
                <w:top w:val="none" w:sz="0" w:space="0" w:color="auto"/>
                <w:left w:val="none" w:sz="0" w:space="0" w:color="auto"/>
                <w:bottom w:val="none" w:sz="0" w:space="0" w:color="auto"/>
                <w:right w:val="none" w:sz="0" w:space="0" w:color="auto"/>
              </w:divBdr>
              <w:divsChild>
                <w:div w:id="315576907">
                  <w:marLeft w:val="0"/>
                  <w:marRight w:val="0"/>
                  <w:marTop w:val="0"/>
                  <w:marBottom w:val="0"/>
                  <w:divBdr>
                    <w:top w:val="none" w:sz="0" w:space="0" w:color="auto"/>
                    <w:left w:val="none" w:sz="0" w:space="0" w:color="auto"/>
                    <w:bottom w:val="none" w:sz="0" w:space="0" w:color="auto"/>
                    <w:right w:val="none" w:sz="0" w:space="0" w:color="auto"/>
                  </w:divBdr>
                  <w:divsChild>
                    <w:div w:id="172648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422454">
      <w:bodyDiv w:val="1"/>
      <w:marLeft w:val="0"/>
      <w:marRight w:val="0"/>
      <w:marTop w:val="0"/>
      <w:marBottom w:val="0"/>
      <w:divBdr>
        <w:top w:val="none" w:sz="0" w:space="0" w:color="auto"/>
        <w:left w:val="none" w:sz="0" w:space="0" w:color="auto"/>
        <w:bottom w:val="none" w:sz="0" w:space="0" w:color="auto"/>
        <w:right w:val="none" w:sz="0" w:space="0" w:color="auto"/>
      </w:divBdr>
      <w:divsChild>
        <w:div w:id="1706176766">
          <w:marLeft w:val="0"/>
          <w:marRight w:val="0"/>
          <w:marTop w:val="0"/>
          <w:marBottom w:val="0"/>
          <w:divBdr>
            <w:top w:val="none" w:sz="0" w:space="0" w:color="auto"/>
            <w:left w:val="none" w:sz="0" w:space="0" w:color="auto"/>
            <w:bottom w:val="none" w:sz="0" w:space="0" w:color="auto"/>
            <w:right w:val="none" w:sz="0" w:space="0" w:color="auto"/>
          </w:divBdr>
          <w:divsChild>
            <w:div w:id="1175345458">
              <w:marLeft w:val="0"/>
              <w:marRight w:val="0"/>
              <w:marTop w:val="0"/>
              <w:marBottom w:val="0"/>
              <w:divBdr>
                <w:top w:val="none" w:sz="0" w:space="0" w:color="auto"/>
                <w:left w:val="none" w:sz="0" w:space="0" w:color="auto"/>
                <w:bottom w:val="none" w:sz="0" w:space="0" w:color="auto"/>
                <w:right w:val="none" w:sz="0" w:space="0" w:color="auto"/>
              </w:divBdr>
              <w:divsChild>
                <w:div w:id="2135832034">
                  <w:marLeft w:val="0"/>
                  <w:marRight w:val="0"/>
                  <w:marTop w:val="0"/>
                  <w:marBottom w:val="0"/>
                  <w:divBdr>
                    <w:top w:val="none" w:sz="0" w:space="0" w:color="auto"/>
                    <w:left w:val="none" w:sz="0" w:space="0" w:color="auto"/>
                    <w:bottom w:val="none" w:sz="0" w:space="0" w:color="auto"/>
                    <w:right w:val="none" w:sz="0" w:space="0" w:color="auto"/>
                  </w:divBdr>
                  <w:divsChild>
                    <w:div w:id="298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647067">
      <w:bodyDiv w:val="1"/>
      <w:marLeft w:val="0"/>
      <w:marRight w:val="0"/>
      <w:marTop w:val="0"/>
      <w:marBottom w:val="0"/>
      <w:divBdr>
        <w:top w:val="none" w:sz="0" w:space="0" w:color="auto"/>
        <w:left w:val="none" w:sz="0" w:space="0" w:color="auto"/>
        <w:bottom w:val="none" w:sz="0" w:space="0" w:color="auto"/>
        <w:right w:val="none" w:sz="0" w:space="0" w:color="auto"/>
      </w:divBdr>
      <w:divsChild>
        <w:div w:id="1649897507">
          <w:marLeft w:val="0"/>
          <w:marRight w:val="0"/>
          <w:marTop w:val="0"/>
          <w:marBottom w:val="0"/>
          <w:divBdr>
            <w:top w:val="none" w:sz="0" w:space="0" w:color="auto"/>
            <w:left w:val="none" w:sz="0" w:space="0" w:color="auto"/>
            <w:bottom w:val="none" w:sz="0" w:space="0" w:color="auto"/>
            <w:right w:val="none" w:sz="0" w:space="0" w:color="auto"/>
          </w:divBdr>
          <w:divsChild>
            <w:div w:id="300040366">
              <w:marLeft w:val="0"/>
              <w:marRight w:val="0"/>
              <w:marTop w:val="0"/>
              <w:marBottom w:val="0"/>
              <w:divBdr>
                <w:top w:val="none" w:sz="0" w:space="0" w:color="auto"/>
                <w:left w:val="none" w:sz="0" w:space="0" w:color="auto"/>
                <w:bottom w:val="none" w:sz="0" w:space="0" w:color="auto"/>
                <w:right w:val="none" w:sz="0" w:space="0" w:color="auto"/>
              </w:divBdr>
              <w:divsChild>
                <w:div w:id="103809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291900">
      <w:bodyDiv w:val="1"/>
      <w:marLeft w:val="0"/>
      <w:marRight w:val="0"/>
      <w:marTop w:val="0"/>
      <w:marBottom w:val="0"/>
      <w:divBdr>
        <w:top w:val="none" w:sz="0" w:space="0" w:color="auto"/>
        <w:left w:val="none" w:sz="0" w:space="0" w:color="auto"/>
        <w:bottom w:val="none" w:sz="0" w:space="0" w:color="auto"/>
        <w:right w:val="none" w:sz="0" w:space="0" w:color="auto"/>
      </w:divBdr>
      <w:divsChild>
        <w:div w:id="949776353">
          <w:marLeft w:val="0"/>
          <w:marRight w:val="0"/>
          <w:marTop w:val="0"/>
          <w:marBottom w:val="0"/>
          <w:divBdr>
            <w:top w:val="none" w:sz="0" w:space="0" w:color="auto"/>
            <w:left w:val="none" w:sz="0" w:space="0" w:color="auto"/>
            <w:bottom w:val="none" w:sz="0" w:space="0" w:color="auto"/>
            <w:right w:val="none" w:sz="0" w:space="0" w:color="auto"/>
          </w:divBdr>
          <w:divsChild>
            <w:div w:id="662977014">
              <w:marLeft w:val="0"/>
              <w:marRight w:val="0"/>
              <w:marTop w:val="0"/>
              <w:marBottom w:val="0"/>
              <w:divBdr>
                <w:top w:val="none" w:sz="0" w:space="0" w:color="auto"/>
                <w:left w:val="none" w:sz="0" w:space="0" w:color="auto"/>
                <w:bottom w:val="none" w:sz="0" w:space="0" w:color="auto"/>
                <w:right w:val="none" w:sz="0" w:space="0" w:color="auto"/>
              </w:divBdr>
              <w:divsChild>
                <w:div w:id="1205092701">
                  <w:marLeft w:val="0"/>
                  <w:marRight w:val="0"/>
                  <w:marTop w:val="0"/>
                  <w:marBottom w:val="0"/>
                  <w:divBdr>
                    <w:top w:val="none" w:sz="0" w:space="0" w:color="auto"/>
                    <w:left w:val="none" w:sz="0" w:space="0" w:color="auto"/>
                    <w:bottom w:val="none" w:sz="0" w:space="0" w:color="auto"/>
                    <w:right w:val="none" w:sz="0" w:space="0" w:color="auto"/>
                  </w:divBdr>
                  <w:divsChild>
                    <w:div w:id="127154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691984">
      <w:bodyDiv w:val="1"/>
      <w:marLeft w:val="0"/>
      <w:marRight w:val="0"/>
      <w:marTop w:val="0"/>
      <w:marBottom w:val="0"/>
      <w:divBdr>
        <w:top w:val="none" w:sz="0" w:space="0" w:color="auto"/>
        <w:left w:val="none" w:sz="0" w:space="0" w:color="auto"/>
        <w:bottom w:val="none" w:sz="0" w:space="0" w:color="auto"/>
        <w:right w:val="none" w:sz="0" w:space="0" w:color="auto"/>
      </w:divBdr>
    </w:div>
    <w:div w:id="809326289">
      <w:bodyDiv w:val="1"/>
      <w:marLeft w:val="0"/>
      <w:marRight w:val="0"/>
      <w:marTop w:val="0"/>
      <w:marBottom w:val="0"/>
      <w:divBdr>
        <w:top w:val="none" w:sz="0" w:space="0" w:color="auto"/>
        <w:left w:val="none" w:sz="0" w:space="0" w:color="auto"/>
        <w:bottom w:val="none" w:sz="0" w:space="0" w:color="auto"/>
        <w:right w:val="none" w:sz="0" w:space="0" w:color="auto"/>
      </w:divBdr>
      <w:divsChild>
        <w:div w:id="395663671">
          <w:marLeft w:val="0"/>
          <w:marRight w:val="0"/>
          <w:marTop w:val="0"/>
          <w:marBottom w:val="0"/>
          <w:divBdr>
            <w:top w:val="none" w:sz="0" w:space="0" w:color="auto"/>
            <w:left w:val="none" w:sz="0" w:space="0" w:color="auto"/>
            <w:bottom w:val="none" w:sz="0" w:space="0" w:color="auto"/>
            <w:right w:val="none" w:sz="0" w:space="0" w:color="auto"/>
          </w:divBdr>
          <w:divsChild>
            <w:div w:id="1190800291">
              <w:marLeft w:val="0"/>
              <w:marRight w:val="0"/>
              <w:marTop w:val="0"/>
              <w:marBottom w:val="0"/>
              <w:divBdr>
                <w:top w:val="none" w:sz="0" w:space="0" w:color="auto"/>
                <w:left w:val="none" w:sz="0" w:space="0" w:color="auto"/>
                <w:bottom w:val="none" w:sz="0" w:space="0" w:color="auto"/>
                <w:right w:val="none" w:sz="0" w:space="0" w:color="auto"/>
              </w:divBdr>
              <w:divsChild>
                <w:div w:id="19016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841168">
      <w:bodyDiv w:val="1"/>
      <w:marLeft w:val="0"/>
      <w:marRight w:val="0"/>
      <w:marTop w:val="0"/>
      <w:marBottom w:val="0"/>
      <w:divBdr>
        <w:top w:val="none" w:sz="0" w:space="0" w:color="auto"/>
        <w:left w:val="none" w:sz="0" w:space="0" w:color="auto"/>
        <w:bottom w:val="none" w:sz="0" w:space="0" w:color="auto"/>
        <w:right w:val="none" w:sz="0" w:space="0" w:color="auto"/>
      </w:divBdr>
    </w:div>
    <w:div w:id="894045739">
      <w:bodyDiv w:val="1"/>
      <w:marLeft w:val="0"/>
      <w:marRight w:val="0"/>
      <w:marTop w:val="0"/>
      <w:marBottom w:val="0"/>
      <w:divBdr>
        <w:top w:val="none" w:sz="0" w:space="0" w:color="auto"/>
        <w:left w:val="none" w:sz="0" w:space="0" w:color="auto"/>
        <w:bottom w:val="none" w:sz="0" w:space="0" w:color="auto"/>
        <w:right w:val="none" w:sz="0" w:space="0" w:color="auto"/>
      </w:divBdr>
      <w:divsChild>
        <w:div w:id="615597369">
          <w:marLeft w:val="0"/>
          <w:marRight w:val="0"/>
          <w:marTop w:val="0"/>
          <w:marBottom w:val="0"/>
          <w:divBdr>
            <w:top w:val="none" w:sz="0" w:space="0" w:color="auto"/>
            <w:left w:val="none" w:sz="0" w:space="0" w:color="auto"/>
            <w:bottom w:val="none" w:sz="0" w:space="0" w:color="auto"/>
            <w:right w:val="none" w:sz="0" w:space="0" w:color="auto"/>
          </w:divBdr>
          <w:divsChild>
            <w:div w:id="1249121125">
              <w:marLeft w:val="0"/>
              <w:marRight w:val="0"/>
              <w:marTop w:val="0"/>
              <w:marBottom w:val="0"/>
              <w:divBdr>
                <w:top w:val="none" w:sz="0" w:space="0" w:color="auto"/>
                <w:left w:val="none" w:sz="0" w:space="0" w:color="auto"/>
                <w:bottom w:val="none" w:sz="0" w:space="0" w:color="auto"/>
                <w:right w:val="none" w:sz="0" w:space="0" w:color="auto"/>
              </w:divBdr>
              <w:divsChild>
                <w:div w:id="1229149278">
                  <w:marLeft w:val="0"/>
                  <w:marRight w:val="0"/>
                  <w:marTop w:val="0"/>
                  <w:marBottom w:val="0"/>
                  <w:divBdr>
                    <w:top w:val="none" w:sz="0" w:space="0" w:color="auto"/>
                    <w:left w:val="none" w:sz="0" w:space="0" w:color="auto"/>
                    <w:bottom w:val="none" w:sz="0" w:space="0" w:color="auto"/>
                    <w:right w:val="none" w:sz="0" w:space="0" w:color="auto"/>
                  </w:divBdr>
                  <w:divsChild>
                    <w:div w:id="4040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613241">
      <w:bodyDiv w:val="1"/>
      <w:marLeft w:val="0"/>
      <w:marRight w:val="0"/>
      <w:marTop w:val="0"/>
      <w:marBottom w:val="0"/>
      <w:divBdr>
        <w:top w:val="none" w:sz="0" w:space="0" w:color="auto"/>
        <w:left w:val="none" w:sz="0" w:space="0" w:color="auto"/>
        <w:bottom w:val="none" w:sz="0" w:space="0" w:color="auto"/>
        <w:right w:val="none" w:sz="0" w:space="0" w:color="auto"/>
      </w:divBdr>
      <w:divsChild>
        <w:div w:id="661587670">
          <w:marLeft w:val="0"/>
          <w:marRight w:val="0"/>
          <w:marTop w:val="0"/>
          <w:marBottom w:val="0"/>
          <w:divBdr>
            <w:top w:val="none" w:sz="0" w:space="0" w:color="auto"/>
            <w:left w:val="none" w:sz="0" w:space="0" w:color="auto"/>
            <w:bottom w:val="none" w:sz="0" w:space="0" w:color="auto"/>
            <w:right w:val="none" w:sz="0" w:space="0" w:color="auto"/>
          </w:divBdr>
          <w:divsChild>
            <w:div w:id="155674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76623">
      <w:bodyDiv w:val="1"/>
      <w:marLeft w:val="0"/>
      <w:marRight w:val="0"/>
      <w:marTop w:val="0"/>
      <w:marBottom w:val="0"/>
      <w:divBdr>
        <w:top w:val="none" w:sz="0" w:space="0" w:color="auto"/>
        <w:left w:val="none" w:sz="0" w:space="0" w:color="auto"/>
        <w:bottom w:val="none" w:sz="0" w:space="0" w:color="auto"/>
        <w:right w:val="none" w:sz="0" w:space="0" w:color="auto"/>
      </w:divBdr>
    </w:div>
    <w:div w:id="1249537301">
      <w:bodyDiv w:val="1"/>
      <w:marLeft w:val="0"/>
      <w:marRight w:val="0"/>
      <w:marTop w:val="0"/>
      <w:marBottom w:val="0"/>
      <w:divBdr>
        <w:top w:val="none" w:sz="0" w:space="0" w:color="auto"/>
        <w:left w:val="none" w:sz="0" w:space="0" w:color="auto"/>
        <w:bottom w:val="none" w:sz="0" w:space="0" w:color="auto"/>
        <w:right w:val="none" w:sz="0" w:space="0" w:color="auto"/>
      </w:divBdr>
      <w:divsChild>
        <w:div w:id="954169501">
          <w:marLeft w:val="0"/>
          <w:marRight w:val="0"/>
          <w:marTop w:val="0"/>
          <w:marBottom w:val="0"/>
          <w:divBdr>
            <w:top w:val="none" w:sz="0" w:space="0" w:color="auto"/>
            <w:left w:val="none" w:sz="0" w:space="0" w:color="auto"/>
            <w:bottom w:val="none" w:sz="0" w:space="0" w:color="auto"/>
            <w:right w:val="none" w:sz="0" w:space="0" w:color="auto"/>
          </w:divBdr>
          <w:divsChild>
            <w:div w:id="399401976">
              <w:marLeft w:val="0"/>
              <w:marRight w:val="0"/>
              <w:marTop w:val="0"/>
              <w:marBottom w:val="0"/>
              <w:divBdr>
                <w:top w:val="none" w:sz="0" w:space="0" w:color="auto"/>
                <w:left w:val="none" w:sz="0" w:space="0" w:color="auto"/>
                <w:bottom w:val="none" w:sz="0" w:space="0" w:color="auto"/>
                <w:right w:val="none" w:sz="0" w:space="0" w:color="auto"/>
              </w:divBdr>
              <w:divsChild>
                <w:div w:id="1196850699">
                  <w:marLeft w:val="0"/>
                  <w:marRight w:val="0"/>
                  <w:marTop w:val="0"/>
                  <w:marBottom w:val="0"/>
                  <w:divBdr>
                    <w:top w:val="none" w:sz="0" w:space="0" w:color="auto"/>
                    <w:left w:val="none" w:sz="0" w:space="0" w:color="auto"/>
                    <w:bottom w:val="none" w:sz="0" w:space="0" w:color="auto"/>
                    <w:right w:val="none" w:sz="0" w:space="0" w:color="auto"/>
                  </w:divBdr>
                  <w:divsChild>
                    <w:div w:id="106653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887440">
      <w:bodyDiv w:val="1"/>
      <w:marLeft w:val="0"/>
      <w:marRight w:val="0"/>
      <w:marTop w:val="0"/>
      <w:marBottom w:val="0"/>
      <w:divBdr>
        <w:top w:val="none" w:sz="0" w:space="0" w:color="auto"/>
        <w:left w:val="none" w:sz="0" w:space="0" w:color="auto"/>
        <w:bottom w:val="none" w:sz="0" w:space="0" w:color="auto"/>
        <w:right w:val="none" w:sz="0" w:space="0" w:color="auto"/>
      </w:divBdr>
      <w:divsChild>
        <w:div w:id="1995183978">
          <w:marLeft w:val="0"/>
          <w:marRight w:val="0"/>
          <w:marTop w:val="0"/>
          <w:marBottom w:val="0"/>
          <w:divBdr>
            <w:top w:val="none" w:sz="0" w:space="0" w:color="auto"/>
            <w:left w:val="none" w:sz="0" w:space="0" w:color="auto"/>
            <w:bottom w:val="none" w:sz="0" w:space="0" w:color="auto"/>
            <w:right w:val="none" w:sz="0" w:space="0" w:color="auto"/>
          </w:divBdr>
          <w:divsChild>
            <w:div w:id="681473122">
              <w:marLeft w:val="0"/>
              <w:marRight w:val="0"/>
              <w:marTop w:val="0"/>
              <w:marBottom w:val="0"/>
              <w:divBdr>
                <w:top w:val="none" w:sz="0" w:space="0" w:color="auto"/>
                <w:left w:val="none" w:sz="0" w:space="0" w:color="auto"/>
                <w:bottom w:val="none" w:sz="0" w:space="0" w:color="auto"/>
                <w:right w:val="none" w:sz="0" w:space="0" w:color="auto"/>
              </w:divBdr>
              <w:divsChild>
                <w:div w:id="688531476">
                  <w:marLeft w:val="0"/>
                  <w:marRight w:val="0"/>
                  <w:marTop w:val="0"/>
                  <w:marBottom w:val="0"/>
                  <w:divBdr>
                    <w:top w:val="none" w:sz="0" w:space="0" w:color="auto"/>
                    <w:left w:val="none" w:sz="0" w:space="0" w:color="auto"/>
                    <w:bottom w:val="none" w:sz="0" w:space="0" w:color="auto"/>
                    <w:right w:val="none" w:sz="0" w:space="0" w:color="auto"/>
                  </w:divBdr>
                  <w:divsChild>
                    <w:div w:id="189091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622043">
      <w:bodyDiv w:val="1"/>
      <w:marLeft w:val="0"/>
      <w:marRight w:val="0"/>
      <w:marTop w:val="0"/>
      <w:marBottom w:val="0"/>
      <w:divBdr>
        <w:top w:val="none" w:sz="0" w:space="0" w:color="auto"/>
        <w:left w:val="none" w:sz="0" w:space="0" w:color="auto"/>
        <w:bottom w:val="none" w:sz="0" w:space="0" w:color="auto"/>
        <w:right w:val="none" w:sz="0" w:space="0" w:color="auto"/>
      </w:divBdr>
      <w:divsChild>
        <w:div w:id="1066492840">
          <w:marLeft w:val="0"/>
          <w:marRight w:val="0"/>
          <w:marTop w:val="0"/>
          <w:marBottom w:val="0"/>
          <w:divBdr>
            <w:top w:val="none" w:sz="0" w:space="0" w:color="auto"/>
            <w:left w:val="none" w:sz="0" w:space="0" w:color="auto"/>
            <w:bottom w:val="none" w:sz="0" w:space="0" w:color="auto"/>
            <w:right w:val="none" w:sz="0" w:space="0" w:color="auto"/>
          </w:divBdr>
          <w:divsChild>
            <w:div w:id="1847361240">
              <w:marLeft w:val="0"/>
              <w:marRight w:val="0"/>
              <w:marTop w:val="0"/>
              <w:marBottom w:val="0"/>
              <w:divBdr>
                <w:top w:val="none" w:sz="0" w:space="0" w:color="auto"/>
                <w:left w:val="none" w:sz="0" w:space="0" w:color="auto"/>
                <w:bottom w:val="none" w:sz="0" w:space="0" w:color="auto"/>
                <w:right w:val="none" w:sz="0" w:space="0" w:color="auto"/>
              </w:divBdr>
              <w:divsChild>
                <w:div w:id="1262101216">
                  <w:marLeft w:val="0"/>
                  <w:marRight w:val="0"/>
                  <w:marTop w:val="0"/>
                  <w:marBottom w:val="0"/>
                  <w:divBdr>
                    <w:top w:val="none" w:sz="0" w:space="0" w:color="auto"/>
                    <w:left w:val="none" w:sz="0" w:space="0" w:color="auto"/>
                    <w:bottom w:val="none" w:sz="0" w:space="0" w:color="auto"/>
                    <w:right w:val="none" w:sz="0" w:space="0" w:color="auto"/>
                  </w:divBdr>
                  <w:divsChild>
                    <w:div w:id="198091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280401">
      <w:bodyDiv w:val="1"/>
      <w:marLeft w:val="0"/>
      <w:marRight w:val="0"/>
      <w:marTop w:val="0"/>
      <w:marBottom w:val="0"/>
      <w:divBdr>
        <w:top w:val="none" w:sz="0" w:space="0" w:color="auto"/>
        <w:left w:val="none" w:sz="0" w:space="0" w:color="auto"/>
        <w:bottom w:val="none" w:sz="0" w:space="0" w:color="auto"/>
        <w:right w:val="none" w:sz="0" w:space="0" w:color="auto"/>
      </w:divBdr>
      <w:divsChild>
        <w:div w:id="893396770">
          <w:marLeft w:val="0"/>
          <w:marRight w:val="0"/>
          <w:marTop w:val="0"/>
          <w:marBottom w:val="0"/>
          <w:divBdr>
            <w:top w:val="none" w:sz="0" w:space="0" w:color="auto"/>
            <w:left w:val="none" w:sz="0" w:space="0" w:color="auto"/>
            <w:bottom w:val="none" w:sz="0" w:space="0" w:color="auto"/>
            <w:right w:val="none" w:sz="0" w:space="0" w:color="auto"/>
          </w:divBdr>
          <w:divsChild>
            <w:div w:id="455178046">
              <w:marLeft w:val="0"/>
              <w:marRight w:val="0"/>
              <w:marTop w:val="0"/>
              <w:marBottom w:val="0"/>
              <w:divBdr>
                <w:top w:val="none" w:sz="0" w:space="0" w:color="auto"/>
                <w:left w:val="none" w:sz="0" w:space="0" w:color="auto"/>
                <w:bottom w:val="none" w:sz="0" w:space="0" w:color="auto"/>
                <w:right w:val="none" w:sz="0" w:space="0" w:color="auto"/>
              </w:divBdr>
              <w:divsChild>
                <w:div w:id="537553411">
                  <w:marLeft w:val="0"/>
                  <w:marRight w:val="0"/>
                  <w:marTop w:val="0"/>
                  <w:marBottom w:val="0"/>
                  <w:divBdr>
                    <w:top w:val="none" w:sz="0" w:space="0" w:color="auto"/>
                    <w:left w:val="none" w:sz="0" w:space="0" w:color="auto"/>
                    <w:bottom w:val="none" w:sz="0" w:space="0" w:color="auto"/>
                    <w:right w:val="none" w:sz="0" w:space="0" w:color="auto"/>
                  </w:divBdr>
                  <w:divsChild>
                    <w:div w:id="139061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678444">
      <w:bodyDiv w:val="1"/>
      <w:marLeft w:val="0"/>
      <w:marRight w:val="0"/>
      <w:marTop w:val="0"/>
      <w:marBottom w:val="0"/>
      <w:divBdr>
        <w:top w:val="none" w:sz="0" w:space="0" w:color="auto"/>
        <w:left w:val="none" w:sz="0" w:space="0" w:color="auto"/>
        <w:bottom w:val="none" w:sz="0" w:space="0" w:color="auto"/>
        <w:right w:val="none" w:sz="0" w:space="0" w:color="auto"/>
      </w:divBdr>
      <w:divsChild>
        <w:div w:id="1273588128">
          <w:marLeft w:val="0"/>
          <w:marRight w:val="0"/>
          <w:marTop w:val="0"/>
          <w:marBottom w:val="0"/>
          <w:divBdr>
            <w:top w:val="none" w:sz="0" w:space="0" w:color="auto"/>
            <w:left w:val="none" w:sz="0" w:space="0" w:color="auto"/>
            <w:bottom w:val="none" w:sz="0" w:space="0" w:color="auto"/>
            <w:right w:val="none" w:sz="0" w:space="0" w:color="auto"/>
          </w:divBdr>
          <w:divsChild>
            <w:div w:id="934437660">
              <w:marLeft w:val="0"/>
              <w:marRight w:val="0"/>
              <w:marTop w:val="0"/>
              <w:marBottom w:val="0"/>
              <w:divBdr>
                <w:top w:val="none" w:sz="0" w:space="0" w:color="auto"/>
                <w:left w:val="none" w:sz="0" w:space="0" w:color="auto"/>
                <w:bottom w:val="none" w:sz="0" w:space="0" w:color="auto"/>
                <w:right w:val="none" w:sz="0" w:space="0" w:color="auto"/>
              </w:divBdr>
              <w:divsChild>
                <w:div w:id="2144077749">
                  <w:marLeft w:val="0"/>
                  <w:marRight w:val="0"/>
                  <w:marTop w:val="0"/>
                  <w:marBottom w:val="0"/>
                  <w:divBdr>
                    <w:top w:val="none" w:sz="0" w:space="0" w:color="auto"/>
                    <w:left w:val="none" w:sz="0" w:space="0" w:color="auto"/>
                    <w:bottom w:val="none" w:sz="0" w:space="0" w:color="auto"/>
                    <w:right w:val="none" w:sz="0" w:space="0" w:color="auto"/>
                  </w:divBdr>
                  <w:divsChild>
                    <w:div w:id="31872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009740">
      <w:bodyDiv w:val="1"/>
      <w:marLeft w:val="0"/>
      <w:marRight w:val="0"/>
      <w:marTop w:val="0"/>
      <w:marBottom w:val="0"/>
      <w:divBdr>
        <w:top w:val="none" w:sz="0" w:space="0" w:color="auto"/>
        <w:left w:val="none" w:sz="0" w:space="0" w:color="auto"/>
        <w:bottom w:val="none" w:sz="0" w:space="0" w:color="auto"/>
        <w:right w:val="none" w:sz="0" w:space="0" w:color="auto"/>
      </w:divBdr>
      <w:divsChild>
        <w:div w:id="1618373508">
          <w:marLeft w:val="0"/>
          <w:marRight w:val="0"/>
          <w:marTop w:val="0"/>
          <w:marBottom w:val="0"/>
          <w:divBdr>
            <w:top w:val="none" w:sz="0" w:space="0" w:color="auto"/>
            <w:left w:val="none" w:sz="0" w:space="0" w:color="auto"/>
            <w:bottom w:val="none" w:sz="0" w:space="0" w:color="auto"/>
            <w:right w:val="none" w:sz="0" w:space="0" w:color="auto"/>
          </w:divBdr>
          <w:divsChild>
            <w:div w:id="422848290">
              <w:marLeft w:val="0"/>
              <w:marRight w:val="0"/>
              <w:marTop w:val="0"/>
              <w:marBottom w:val="0"/>
              <w:divBdr>
                <w:top w:val="none" w:sz="0" w:space="0" w:color="auto"/>
                <w:left w:val="none" w:sz="0" w:space="0" w:color="auto"/>
                <w:bottom w:val="none" w:sz="0" w:space="0" w:color="auto"/>
                <w:right w:val="none" w:sz="0" w:space="0" w:color="auto"/>
              </w:divBdr>
              <w:divsChild>
                <w:div w:id="1860849570">
                  <w:marLeft w:val="0"/>
                  <w:marRight w:val="0"/>
                  <w:marTop w:val="0"/>
                  <w:marBottom w:val="0"/>
                  <w:divBdr>
                    <w:top w:val="none" w:sz="0" w:space="0" w:color="auto"/>
                    <w:left w:val="none" w:sz="0" w:space="0" w:color="auto"/>
                    <w:bottom w:val="none" w:sz="0" w:space="0" w:color="auto"/>
                    <w:right w:val="none" w:sz="0" w:space="0" w:color="auto"/>
                  </w:divBdr>
                  <w:divsChild>
                    <w:div w:id="183749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425220">
      <w:bodyDiv w:val="1"/>
      <w:marLeft w:val="0"/>
      <w:marRight w:val="0"/>
      <w:marTop w:val="0"/>
      <w:marBottom w:val="0"/>
      <w:divBdr>
        <w:top w:val="none" w:sz="0" w:space="0" w:color="auto"/>
        <w:left w:val="none" w:sz="0" w:space="0" w:color="auto"/>
        <w:bottom w:val="none" w:sz="0" w:space="0" w:color="auto"/>
        <w:right w:val="none" w:sz="0" w:space="0" w:color="auto"/>
      </w:divBdr>
      <w:divsChild>
        <w:div w:id="187259326">
          <w:marLeft w:val="0"/>
          <w:marRight w:val="0"/>
          <w:marTop w:val="0"/>
          <w:marBottom w:val="0"/>
          <w:divBdr>
            <w:top w:val="none" w:sz="0" w:space="0" w:color="auto"/>
            <w:left w:val="none" w:sz="0" w:space="0" w:color="auto"/>
            <w:bottom w:val="none" w:sz="0" w:space="0" w:color="auto"/>
            <w:right w:val="none" w:sz="0" w:space="0" w:color="auto"/>
          </w:divBdr>
          <w:divsChild>
            <w:div w:id="862742225">
              <w:marLeft w:val="0"/>
              <w:marRight w:val="0"/>
              <w:marTop w:val="0"/>
              <w:marBottom w:val="0"/>
              <w:divBdr>
                <w:top w:val="none" w:sz="0" w:space="0" w:color="auto"/>
                <w:left w:val="none" w:sz="0" w:space="0" w:color="auto"/>
                <w:bottom w:val="none" w:sz="0" w:space="0" w:color="auto"/>
                <w:right w:val="none" w:sz="0" w:space="0" w:color="auto"/>
              </w:divBdr>
              <w:divsChild>
                <w:div w:id="84806001">
                  <w:marLeft w:val="0"/>
                  <w:marRight w:val="0"/>
                  <w:marTop w:val="0"/>
                  <w:marBottom w:val="0"/>
                  <w:divBdr>
                    <w:top w:val="none" w:sz="0" w:space="0" w:color="auto"/>
                    <w:left w:val="none" w:sz="0" w:space="0" w:color="auto"/>
                    <w:bottom w:val="none" w:sz="0" w:space="0" w:color="auto"/>
                    <w:right w:val="none" w:sz="0" w:space="0" w:color="auto"/>
                  </w:divBdr>
                  <w:divsChild>
                    <w:div w:id="203256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doi.org/10.1017/CBO9781316534342" TargetMode="External"/><Relationship Id="rId3" Type="http://schemas.openxmlformats.org/officeDocument/2006/relationships/styles" Target="styles.xml"/><Relationship Id="rId21" Type="http://schemas.openxmlformats.org/officeDocument/2006/relationships/hyperlink" Target="https://doi.org/10.1089/elj.2018.0527"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j.mp/2BkgYTP"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doi.org/10.1089/elj.2020.0691" TargetMode="External"/><Relationship Id="rId29" Type="http://schemas.openxmlformats.org/officeDocument/2006/relationships/hyperlink" Target="https://ssrn.com/abstract=315812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i.org/10.1017/S000305541900056X" TargetMode="External"/><Relationship Id="rId32" Type="http://schemas.openxmlformats.org/officeDocument/2006/relationships/hyperlink" Target="http://doi.org/10.1089/elj.2018.0508"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gking.harvard.edu/symmetry" TargetMode="External"/><Relationship Id="rId28" Type="http://schemas.openxmlformats.org/officeDocument/2006/relationships/hyperlink" Target="https://doi.org/10.2307/1958782" TargetMode="External"/><Relationship Id="rId10" Type="http://schemas.openxmlformats.org/officeDocument/2006/relationships/image" Target="media/image1.png"/><Relationship Id="rId19" Type="http://schemas.openxmlformats.org/officeDocument/2006/relationships/hyperlink" Target="https://bit.ly/3FI3AHa" TargetMode="External"/><Relationship Id="rId31" Type="http://schemas.openxmlformats.org/officeDocument/2006/relationships/hyperlink" Target="https://ssrn.com/abstract=3828800"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hyperlink" Target="http://www.jstor.org/stable/25791195" TargetMode="External"/><Relationship Id="rId27" Type="http://schemas.openxmlformats.org/officeDocument/2006/relationships/hyperlink" Target="http://doi.org/10.1089/elj.2020.0674" TargetMode="External"/><Relationship Id="rId30" Type="http://schemas.openxmlformats.org/officeDocument/2006/relationships/hyperlink" Target="https://dx.doi.org/10.2139/ssrn.3158123" TargetMode="External"/><Relationship Id="rId8"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bit.ly/3xm1v0S" TargetMode="External"/><Relationship Id="rId13" Type="http://schemas.openxmlformats.org/officeDocument/2006/relationships/hyperlink" Target="https://bit.ly/3ExfgfJ" TargetMode="External"/><Relationship Id="rId18" Type="http://schemas.openxmlformats.org/officeDocument/2006/relationships/hyperlink" Target="https://davesredistricting.org/" TargetMode="External"/><Relationship Id="rId3" Type="http://schemas.openxmlformats.org/officeDocument/2006/relationships/hyperlink" Target="https://bit.ly/335rgrd" TargetMode="External"/><Relationship Id="rId21" Type="http://schemas.openxmlformats.org/officeDocument/2006/relationships/hyperlink" Target="https://github.com/dra2020/dra-analytics" TargetMode="External"/><Relationship Id="rId7" Type="http://schemas.openxmlformats.org/officeDocument/2006/relationships/hyperlink" Target="https://bit.ly/3Gdm8PU" TargetMode="External"/><Relationship Id="rId12" Type="http://schemas.openxmlformats.org/officeDocument/2006/relationships/hyperlink" Target="https://bit.ly/3y2d0dX" TargetMode="External"/><Relationship Id="rId17" Type="http://schemas.openxmlformats.org/officeDocument/2006/relationships/hyperlink" Target="https://github.com/dra2020/bias-irl" TargetMode="External"/><Relationship Id="rId2" Type="http://schemas.openxmlformats.org/officeDocument/2006/relationships/hyperlink" Target="https://bit.ly/3lF4f4O" TargetMode="External"/><Relationship Id="rId16" Type="http://schemas.openxmlformats.org/officeDocument/2006/relationships/hyperlink" Target="https://lipid.phys.cmu.edu/nagle/Technical/2019-04-19%20-%20Measuring%20Redistricting%20Bias%20&amp;%20Responsiveness.pdf" TargetMode="External"/><Relationship Id="rId20" Type="http://schemas.openxmlformats.org/officeDocument/2006/relationships/hyperlink" Target="https://en.wikipedia.org/wiki/Principle_of_locality" TargetMode="External"/><Relationship Id="rId1" Type="http://schemas.openxmlformats.org/officeDocument/2006/relationships/hyperlink" Target="https://bit.ly/3drhkdj" TargetMode="External"/><Relationship Id="rId6" Type="http://schemas.openxmlformats.org/officeDocument/2006/relationships/hyperlink" Target="https://bit.ly/2ZtmB0Q" TargetMode="External"/><Relationship Id="rId11" Type="http://schemas.openxmlformats.org/officeDocument/2006/relationships/hyperlink" Target="https://www.cookpolitical.com/about/staff/david-wasserman" TargetMode="External"/><Relationship Id="rId5" Type="http://schemas.openxmlformats.org/officeDocument/2006/relationships/hyperlink" Target="https://bit.ly/3or5IgK" TargetMode="External"/><Relationship Id="rId15" Type="http://schemas.openxmlformats.org/officeDocument/2006/relationships/hyperlink" Target="https://lipid.phys.cmu.edu/nagle/Technical/FractionalSeats2.pdf" TargetMode="External"/><Relationship Id="rId10" Type="http://schemas.openxmlformats.org/officeDocument/2006/relationships/hyperlink" Target="https://bit.ly/3IpfF6h" TargetMode="External"/><Relationship Id="rId19" Type="http://schemas.openxmlformats.org/officeDocument/2006/relationships/hyperlink" Target="http://bit.ly/2SeQoDV" TargetMode="External"/><Relationship Id="rId4" Type="http://schemas.openxmlformats.org/officeDocument/2006/relationships/hyperlink" Target="https://bit.ly/2ZlqVfl" TargetMode="External"/><Relationship Id="rId9" Type="http://schemas.openxmlformats.org/officeDocument/2006/relationships/hyperlink" Target="https://bit.ly/32AkAkz" TargetMode="External"/><Relationship Id="rId14" Type="http://schemas.openxmlformats.org/officeDocument/2006/relationships/hyperlink" Target="https://bit.ly/3EUb3Dd" TargetMode="External"/><Relationship Id="rId22" Type="http://schemas.openxmlformats.org/officeDocument/2006/relationships/hyperlink" Target="https://github.com/dra2020/dra-analy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87EB4-0C51-EB4E-867E-2BFCB1FE5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20</Pages>
  <Words>4455</Words>
  <Characters>25398</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Ramsay</dc:creator>
  <cp:keywords/>
  <dc:description/>
  <cp:lastModifiedBy>Alec Ramsay</cp:lastModifiedBy>
  <cp:revision>284</cp:revision>
  <dcterms:created xsi:type="dcterms:W3CDTF">2021-10-15T14:47:00Z</dcterms:created>
  <dcterms:modified xsi:type="dcterms:W3CDTF">2021-12-21T13:33:00Z</dcterms:modified>
</cp:coreProperties>
</file>