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20D2" w14:textId="4D8AFD53" w:rsidR="00FF0949" w:rsidRPr="00A84C73" w:rsidRDefault="004C1205" w:rsidP="0001675E">
      <w:pPr>
        <w:rPr>
          <w:b/>
          <w:bCs/>
          <w:sz w:val="28"/>
          <w:szCs w:val="28"/>
        </w:rPr>
      </w:pPr>
      <w:r>
        <w:rPr>
          <w:rStyle w:val="Heading1Char"/>
        </w:rPr>
        <w:t>“</w:t>
      </w:r>
      <w:r w:rsidR="00B64A41" w:rsidRPr="004C1205">
        <w:rPr>
          <w:rStyle w:val="Heading1Char"/>
        </w:rPr>
        <w:t>Estimating</w:t>
      </w:r>
      <w:r w:rsidR="00D026AD" w:rsidRPr="004C1205">
        <w:rPr>
          <w:rStyle w:val="Heading1Char"/>
        </w:rPr>
        <w:t xml:space="preserve"> </w:t>
      </w:r>
      <w:r>
        <w:rPr>
          <w:rStyle w:val="Heading1Char"/>
        </w:rPr>
        <w:t>p</w:t>
      </w:r>
      <w:r w:rsidR="00D026AD" w:rsidRPr="004C1205">
        <w:rPr>
          <w:rStyle w:val="Heading1Char"/>
        </w:rPr>
        <w:t xml:space="preserve">artisan </w:t>
      </w:r>
      <w:r>
        <w:rPr>
          <w:rStyle w:val="Heading1Char"/>
        </w:rPr>
        <w:t>a</w:t>
      </w:r>
      <w:r w:rsidR="00D026AD" w:rsidRPr="004C1205">
        <w:rPr>
          <w:rStyle w:val="Heading1Char"/>
        </w:rPr>
        <w:t>dvantage</w:t>
      </w:r>
      <w:r>
        <w:rPr>
          <w:rStyle w:val="Heading1Char"/>
        </w:rPr>
        <w:t>” (Ramsay guest post)</w:t>
      </w:r>
    </w:p>
    <w:p w14:paraId="1BC6B69D" w14:textId="6D69BCC5" w:rsidR="00A95F93" w:rsidRDefault="00A95F93" w:rsidP="0001675E"/>
    <w:p w14:paraId="23F048B7" w14:textId="77777777" w:rsidR="001B3C44" w:rsidRPr="001B3C44" w:rsidRDefault="001B3C44" w:rsidP="001B3C44">
      <w:r w:rsidRPr="001B3C44">
        <w:rPr>
          <w:rStyle w:val="Heading1Char"/>
          <w:b w:val="0"/>
          <w:bCs w:val="0"/>
          <w:sz w:val="24"/>
          <w:szCs w:val="24"/>
        </w:rPr>
        <w:t>By</w:t>
      </w:r>
      <w:r>
        <w:rPr>
          <w:rStyle w:val="Heading1Char"/>
          <w:b w:val="0"/>
          <w:bCs w:val="0"/>
          <w:sz w:val="24"/>
          <w:szCs w:val="24"/>
        </w:rPr>
        <w:t xml:space="preserve"> </w:t>
      </w:r>
      <w:r w:rsidRPr="001B3C44">
        <w:t>Nicholas Stephanopoulos</w:t>
      </w:r>
    </w:p>
    <w:p w14:paraId="5036C5AB" w14:textId="604A0710" w:rsidR="001B3C44" w:rsidRDefault="001B3C44" w:rsidP="00970935">
      <w:pPr>
        <w:rPr>
          <w:rStyle w:val="Heading1Char"/>
          <w:b w:val="0"/>
          <w:bCs w:val="0"/>
          <w:sz w:val="24"/>
          <w:szCs w:val="24"/>
        </w:rPr>
      </w:pPr>
    </w:p>
    <w:p w14:paraId="38D01D63" w14:textId="390401FC" w:rsidR="00DE7595" w:rsidRDefault="001B3C44" w:rsidP="008E26A2">
      <w:r>
        <w:rPr>
          <w:rStyle w:val="Heading1Char"/>
          <w:b w:val="0"/>
          <w:bCs w:val="0"/>
          <w:sz w:val="24"/>
          <w:szCs w:val="24"/>
        </w:rPr>
        <w:t xml:space="preserve">This is a guest post by Alec Ramsay of </w:t>
      </w:r>
      <w:hyperlink r:id="rId8" w:history="1">
        <w:r w:rsidRPr="00CC0E02">
          <w:rPr>
            <w:rStyle w:val="Hyperlink"/>
          </w:rPr>
          <w:t>Dave’s Redistricting</w:t>
        </w:r>
      </w:hyperlink>
      <w:r w:rsidR="001D2D70">
        <w:rPr>
          <w:rStyle w:val="Heading1Char"/>
          <w:b w:val="0"/>
          <w:bCs w:val="0"/>
          <w:sz w:val="24"/>
          <w:szCs w:val="24"/>
        </w:rPr>
        <w:t xml:space="preserve"> about</w:t>
      </w:r>
      <w:r w:rsidR="00E0302C">
        <w:rPr>
          <w:rStyle w:val="Heading1Char"/>
          <w:b w:val="0"/>
          <w:bCs w:val="0"/>
          <w:sz w:val="24"/>
          <w:szCs w:val="24"/>
        </w:rPr>
        <w:t xml:space="preserve"> a </w:t>
      </w:r>
      <w:r w:rsidR="008E26A2">
        <w:t xml:space="preserve">new class of </w:t>
      </w:r>
      <w:r w:rsidR="00E0302C">
        <w:t xml:space="preserve">metrics </w:t>
      </w:r>
      <w:r w:rsidR="008E26A2">
        <w:t xml:space="preserve">that measure whether </w:t>
      </w:r>
      <w:r w:rsidR="00AA4DAD">
        <w:t xml:space="preserve">redistricting </w:t>
      </w:r>
      <w:r w:rsidR="008E26A2">
        <w:t xml:space="preserve">plans favor one political party or the </w:t>
      </w:r>
      <w:r w:rsidR="00F4171A">
        <w:t>other.</w:t>
      </w:r>
    </w:p>
    <w:p w14:paraId="69CCF00B" w14:textId="7621CB7B" w:rsidR="00D756F5" w:rsidRDefault="00D756F5" w:rsidP="008E26A2"/>
    <w:p w14:paraId="098826B2" w14:textId="1170CF76" w:rsidR="00D756F5" w:rsidRPr="00D756F5" w:rsidRDefault="00D756F5" w:rsidP="00D756F5">
      <w:pPr>
        <w:jc w:val="center"/>
        <w:rPr>
          <w:sz w:val="22"/>
          <w:szCs w:val="22"/>
        </w:rPr>
      </w:pPr>
      <w:r w:rsidRPr="00D756F5">
        <w:rPr>
          <w:sz w:val="22"/>
          <w:szCs w:val="22"/>
        </w:rPr>
        <w:t>~/~</w:t>
      </w:r>
    </w:p>
    <w:p w14:paraId="076B6FA9" w14:textId="3FA74D5C" w:rsidR="00DE7742" w:rsidRDefault="00DE7742" w:rsidP="008E26A2"/>
    <w:p w14:paraId="19251B58" w14:textId="4B4F3478" w:rsidR="00DE7595" w:rsidRDefault="00DE7742" w:rsidP="008E26A2">
      <w:r>
        <w:t xml:space="preserve">People tend to use the terms “bias” and “fairness” interchangeably and sometimes use the term “partisan bias” generically even though it has a specific meaning in the literature. People </w:t>
      </w:r>
      <w:r>
        <w:t xml:space="preserve">also </w:t>
      </w:r>
      <w:r>
        <w:t xml:space="preserve">tend to treat </w:t>
      </w:r>
      <w:r w:rsidR="00764813">
        <w:t>prominent</w:t>
      </w:r>
      <w:r>
        <w:t xml:space="preserve"> measures of “bias” as though they </w:t>
      </w:r>
      <w:r w:rsidR="001C35C4">
        <w:t xml:space="preserve">all </w:t>
      </w:r>
      <w:r>
        <w:t>measure the same thing,</w:t>
      </w:r>
      <w:r>
        <w:t xml:space="preserve"> even though</w:t>
      </w:r>
      <w:r>
        <w:t xml:space="preserve"> some metrics measure</w:t>
      </w:r>
      <w:r w:rsidRPr="00703E6A">
        <w:t xml:space="preserve"> partisan gerrymandering</w:t>
      </w:r>
      <w:r>
        <w:t xml:space="preserve"> </w:t>
      </w:r>
      <w:r w:rsidRPr="00703E6A">
        <w:t xml:space="preserve">via packing </w:t>
      </w:r>
      <w:r>
        <w:t>&amp;</w:t>
      </w:r>
      <w:r w:rsidRPr="00703E6A">
        <w:t xml:space="preserve"> cracking</w:t>
      </w:r>
      <w:r>
        <w:t xml:space="preserve">, </w:t>
      </w:r>
      <w:r w:rsidR="001C35C4">
        <w:t>some</w:t>
      </w:r>
      <w:r>
        <w:t xml:space="preserve"> measure</w:t>
      </w:r>
      <w:r w:rsidR="001C35C4">
        <w:t xml:space="preserve"> </w:t>
      </w:r>
      <w:r>
        <w:t xml:space="preserve">partisan symmetry, and others </w:t>
      </w:r>
      <w:r w:rsidRPr="00703E6A">
        <w:t>measure</w:t>
      </w:r>
      <w:r>
        <w:t xml:space="preserve"> “fairness” relative to some</w:t>
      </w:r>
      <w:r w:rsidRPr="00703E6A">
        <w:t xml:space="preserve"> normative </w:t>
      </w:r>
      <w:r>
        <w:t xml:space="preserve">standard. </w:t>
      </w:r>
    </w:p>
    <w:p w14:paraId="21658D76" w14:textId="4FF0BA23" w:rsidR="00F13894" w:rsidRDefault="00F13894" w:rsidP="008E26A2"/>
    <w:p w14:paraId="7AF6DBA1" w14:textId="4305D69F" w:rsidR="00DE7595" w:rsidRDefault="00F13894" w:rsidP="0087338C">
      <w:pPr>
        <w:rPr>
          <w:rFonts w:cstheme="minorHAnsi"/>
          <w:shd w:val="clear" w:color="auto" w:fill="FFFFFF"/>
        </w:rPr>
      </w:pPr>
      <w:r>
        <w:t xml:space="preserve">The </w:t>
      </w:r>
      <w:r w:rsidRPr="00DE7595">
        <w:t>measure</w:t>
      </w:r>
      <w:r>
        <w:t>s</w:t>
      </w:r>
      <w:r w:rsidRPr="00DE7595">
        <w:t xml:space="preserve"> of partisan fairness</w:t>
      </w:r>
      <w:r>
        <w:t xml:space="preserve"> allowed </w:t>
      </w:r>
      <w:r w:rsidR="00D756F5">
        <w:t>in</w:t>
      </w:r>
      <w:r>
        <w:t xml:space="preserve"> </w:t>
      </w:r>
      <w:r>
        <w:rPr>
          <w:rStyle w:val="Heading1Char"/>
          <w:b w:val="0"/>
          <w:bCs w:val="0"/>
          <w:sz w:val="24"/>
          <w:szCs w:val="24"/>
        </w:rPr>
        <w:t xml:space="preserve">the Senate’s recent </w:t>
      </w:r>
      <w:r w:rsidRPr="00623E31">
        <w:rPr>
          <w:rStyle w:val="Heading1Char"/>
          <w:b w:val="0"/>
          <w:bCs w:val="0"/>
          <w:sz w:val="24"/>
          <w:szCs w:val="24"/>
        </w:rPr>
        <w:t>Freedom to Vote Act (S2747)</w:t>
      </w:r>
      <w:r>
        <w:rPr>
          <w:rStyle w:val="Heading1Char"/>
          <w:b w:val="0"/>
          <w:bCs w:val="0"/>
          <w:sz w:val="24"/>
          <w:szCs w:val="24"/>
        </w:rPr>
        <w:t xml:space="preserve"> </w:t>
      </w:r>
      <w:r w:rsidR="006E178B">
        <w:rPr>
          <w:rStyle w:val="Heading1Char"/>
          <w:b w:val="0"/>
          <w:bCs w:val="0"/>
          <w:sz w:val="24"/>
          <w:szCs w:val="24"/>
        </w:rPr>
        <w:t>measure a quantity</w:t>
      </w:r>
      <w:r>
        <w:rPr>
          <w:rStyle w:val="Heading1Char"/>
          <w:b w:val="0"/>
          <w:bCs w:val="0"/>
          <w:sz w:val="24"/>
          <w:szCs w:val="24"/>
        </w:rPr>
        <w:t xml:space="preserve"> I call partisan advantage</w:t>
      </w:r>
      <w:r w:rsidR="009C393F">
        <w:rPr>
          <w:rStyle w:val="Heading1Char"/>
          <w:b w:val="0"/>
          <w:bCs w:val="0"/>
          <w:sz w:val="24"/>
          <w:szCs w:val="24"/>
        </w:rPr>
        <w:t>:</w:t>
      </w:r>
      <w:r>
        <w:rPr>
          <w:rStyle w:val="Heading1Char"/>
          <w:b w:val="0"/>
          <w:bCs w:val="0"/>
          <w:sz w:val="24"/>
          <w:szCs w:val="24"/>
        </w:rPr>
        <w:t xml:space="preserve"> </w:t>
      </w:r>
      <w:r w:rsidR="009E7DF2" w:rsidRPr="00F13894">
        <w:t>the difference between the ideal and actual seat shares.</w:t>
      </w:r>
      <w:r w:rsidR="0087338C">
        <w:t xml:space="preserve"> </w:t>
      </w:r>
      <w:r w:rsidR="00712D63">
        <w:rPr>
          <w:rStyle w:val="Heading1Char"/>
          <w:b w:val="0"/>
          <w:bCs w:val="0"/>
          <w:sz w:val="24"/>
          <w:szCs w:val="24"/>
        </w:rPr>
        <w:t xml:space="preserve">As Nick </w:t>
      </w:r>
      <w:r w:rsidR="0087338C" w:rsidRPr="001B3C44">
        <w:t>Stephanopoulos</w:t>
      </w:r>
      <w:r w:rsidR="0087338C">
        <w:rPr>
          <w:rStyle w:val="Heading1Char"/>
          <w:b w:val="0"/>
          <w:bCs w:val="0"/>
          <w:sz w:val="24"/>
          <w:szCs w:val="24"/>
        </w:rPr>
        <w:t xml:space="preserve"> </w:t>
      </w:r>
      <w:r w:rsidR="00712D63">
        <w:rPr>
          <w:rStyle w:val="Heading1Char"/>
          <w:b w:val="0"/>
          <w:bCs w:val="0"/>
          <w:sz w:val="24"/>
          <w:szCs w:val="24"/>
        </w:rPr>
        <w:t>pointed out in his analysis</w:t>
      </w:r>
      <w:r w:rsidR="006E178B">
        <w:rPr>
          <w:rStyle w:val="Heading1Char"/>
          <w:b w:val="0"/>
          <w:bCs w:val="0"/>
          <w:sz w:val="24"/>
          <w:szCs w:val="24"/>
        </w:rPr>
        <w:t xml:space="preserve"> of</w:t>
      </w:r>
      <w:r w:rsidR="00712D63">
        <w:rPr>
          <w:rStyle w:val="Heading1Char"/>
          <w:b w:val="0"/>
          <w:bCs w:val="0"/>
          <w:sz w:val="24"/>
          <w:szCs w:val="24"/>
        </w:rPr>
        <w:t xml:space="preserve"> </w:t>
      </w:r>
      <w:r w:rsidR="00551FF2">
        <w:rPr>
          <w:rStyle w:val="Heading1Char"/>
          <w:b w:val="0"/>
          <w:bCs w:val="0"/>
          <w:sz w:val="24"/>
          <w:szCs w:val="24"/>
        </w:rPr>
        <w:t>its</w:t>
      </w:r>
      <w:r w:rsidR="00712D63">
        <w:rPr>
          <w:rStyle w:val="Heading1Char"/>
          <w:b w:val="0"/>
          <w:bCs w:val="0"/>
          <w:sz w:val="24"/>
          <w:szCs w:val="24"/>
        </w:rPr>
        <w:t xml:space="preserve"> </w:t>
      </w:r>
      <w:hyperlink r:id="rId9" w:history="1">
        <w:r w:rsidR="006E178B">
          <w:rPr>
            <w:rStyle w:val="Hyperlink"/>
          </w:rPr>
          <w:t>Rebuttable Presumption</w:t>
        </w:r>
      </w:hyperlink>
      <w:r w:rsidR="006E178B">
        <w:rPr>
          <w:rStyle w:val="Heading1Char"/>
          <w:b w:val="0"/>
          <w:bCs w:val="0"/>
          <w:sz w:val="24"/>
          <w:szCs w:val="24"/>
        </w:rPr>
        <w:t xml:space="preserve"> of gerrymandering provision</w:t>
      </w:r>
      <w:r w:rsidR="0087338C">
        <w:rPr>
          <w:rStyle w:val="Heading1Char"/>
          <w:b w:val="0"/>
          <w:bCs w:val="0"/>
          <w:sz w:val="24"/>
          <w:szCs w:val="24"/>
        </w:rPr>
        <w:t>, the</w:t>
      </w:r>
      <w:r w:rsidR="00DE7595">
        <w:rPr>
          <w:rFonts w:cstheme="minorHAnsi"/>
          <w:shd w:val="clear" w:color="auto" w:fill="FFFFFF"/>
        </w:rPr>
        <w:t xml:space="preserve"> language </w:t>
      </w:r>
      <w:r w:rsidR="0087338C">
        <w:rPr>
          <w:rFonts w:cstheme="minorHAnsi"/>
          <w:shd w:val="clear" w:color="auto" w:fill="FFFFFF"/>
        </w:rPr>
        <w:t xml:space="preserve">in the Act </w:t>
      </w:r>
      <w:r w:rsidR="00DE7595">
        <w:rPr>
          <w:rFonts w:cstheme="minorHAnsi"/>
          <w:shd w:val="clear" w:color="auto" w:fill="FFFFFF"/>
        </w:rPr>
        <w:t xml:space="preserve">excludes </w:t>
      </w:r>
      <w:r w:rsidR="0087338C">
        <w:rPr>
          <w:rFonts w:cstheme="minorHAnsi"/>
          <w:shd w:val="clear" w:color="auto" w:fill="FFFFFF"/>
        </w:rPr>
        <w:t>measures of partisan fairness</w:t>
      </w:r>
      <w:r w:rsidR="00DE7595">
        <w:rPr>
          <w:rFonts w:cstheme="minorHAnsi"/>
          <w:shd w:val="clear" w:color="auto" w:fill="FFFFFF"/>
        </w:rPr>
        <w:t xml:space="preserve"> “</w:t>
      </w:r>
      <w:r w:rsidR="00DE7595" w:rsidRPr="00340FEB">
        <w:t>that don’t specify an optimal seat share for a party’s given statewide vote share</w:t>
      </w:r>
      <w:r w:rsidR="00DE7595">
        <w:rPr>
          <w:rFonts w:cstheme="minorHAnsi"/>
          <w:shd w:val="clear" w:color="auto" w:fill="FFFFFF"/>
        </w:rPr>
        <w:t>” – such as measures of partisan asymmetry, mean–median difference, and declination – but includes the efficiency gap and disproportionality</w:t>
      </w:r>
      <w:r w:rsidR="0087338C">
        <w:rPr>
          <w:rFonts w:cstheme="minorHAnsi"/>
          <w:shd w:val="clear" w:color="auto" w:fill="FFFFFF"/>
        </w:rPr>
        <w:t>.</w:t>
      </w:r>
    </w:p>
    <w:p w14:paraId="14C0B32F" w14:textId="3FA6E159" w:rsidR="0087338C" w:rsidRDefault="0087338C" w:rsidP="0087338C">
      <w:pPr>
        <w:rPr>
          <w:rFonts w:cstheme="minorHAnsi"/>
          <w:shd w:val="clear" w:color="auto" w:fill="FFFFFF"/>
        </w:rPr>
      </w:pPr>
    </w:p>
    <w:p w14:paraId="1000C217" w14:textId="3F6A67CA" w:rsidR="00E0302C" w:rsidRDefault="0087338C" w:rsidP="00E0302C">
      <w:r>
        <w:rPr>
          <w:rFonts w:cstheme="minorHAnsi"/>
          <w:shd w:val="clear" w:color="auto" w:fill="FFFFFF"/>
        </w:rPr>
        <w:t>In my paper</w:t>
      </w:r>
      <w:r w:rsidR="00137C7B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</w:t>
      </w:r>
      <w:hyperlink r:id="rId10" w:history="1">
        <w:r w:rsidRPr="001E2F83">
          <w:rPr>
            <w:rStyle w:val="Hyperlink"/>
          </w:rPr>
          <w:t>Estimating Seats–Votes Partisan Advantage</w:t>
        </w:r>
      </w:hyperlink>
      <w:r w:rsidR="00137C7B">
        <w:t>,</w:t>
      </w:r>
      <w:r>
        <w:t xml:space="preserve"> I </w:t>
      </w:r>
      <w:r w:rsidR="00F142FD">
        <w:t xml:space="preserve">extend Jon </w:t>
      </w:r>
      <w:proofErr w:type="spellStart"/>
      <w:r w:rsidR="00F142FD">
        <w:t>Eguia’s</w:t>
      </w:r>
      <w:proofErr w:type="spellEnd"/>
      <w:r w:rsidR="00F142FD">
        <w:t xml:space="preserve"> notion of partisan advantage </w:t>
      </w:r>
      <w:r w:rsidR="00C87114">
        <w:t xml:space="preserve">to formalize this class of metrics which I call </w:t>
      </w:r>
      <w:r w:rsidR="004A3BB2">
        <w:t xml:space="preserve">seat–votes </w:t>
      </w:r>
      <w:r w:rsidR="00C87114">
        <w:t>partisan</w:t>
      </w:r>
      <w:r w:rsidR="004A3BB2">
        <w:t xml:space="preserve"> advantage</w:t>
      </w:r>
      <w:r w:rsidR="00F142FD">
        <w:t>.</w:t>
      </w:r>
      <w:r w:rsidR="000A1572">
        <w:t xml:space="preserve"> I </w:t>
      </w:r>
      <w:r>
        <w:t>show that m</w:t>
      </w:r>
      <w:r w:rsidR="00E0302C">
        <w:t xml:space="preserve">ost prominent measures of “bias” </w:t>
      </w:r>
      <w:r w:rsidR="000518F6">
        <w:t xml:space="preserve">– </w:t>
      </w:r>
      <w:r w:rsidR="000518F6">
        <w:t>including</w:t>
      </w:r>
      <w:r w:rsidR="000518F6">
        <w:t xml:space="preserve"> </w:t>
      </w:r>
      <w:r w:rsidR="000518F6" w:rsidRPr="00764813">
        <w:t>declination, lopsided outcomes, mean–median</w:t>
      </w:r>
      <w:r w:rsidR="000518F6">
        <w:t xml:space="preserve"> difference</w:t>
      </w:r>
      <w:r w:rsidR="000518F6" w:rsidRPr="00764813">
        <w:t>, seats bias, votes bias, geometric seats bias (</w:t>
      </w:r>
      <m:oMath>
        <m:r>
          <w:rPr>
            <w:rFonts w:ascii="Cambria Math" w:hAnsi="Cambria Math"/>
          </w:rPr>
          <m:t>β</m:t>
        </m:r>
      </m:oMath>
      <w:r w:rsidR="000518F6" w:rsidRPr="00764813">
        <w:t xml:space="preserve">), global symmetry, </w:t>
      </w:r>
      <w:r w:rsidR="000518F6">
        <w:t>dis</w:t>
      </w:r>
      <w:r w:rsidR="000518F6" w:rsidRPr="00764813">
        <w:t>proportional</w:t>
      </w:r>
      <w:r w:rsidR="000518F6">
        <w:t>ity</w:t>
      </w:r>
      <w:r w:rsidR="000518F6" w:rsidRPr="00764813">
        <w:t xml:space="preserve">, </w:t>
      </w:r>
      <w:r w:rsidR="000518F6">
        <w:t xml:space="preserve">and </w:t>
      </w:r>
      <w:r w:rsidR="000518F6" w:rsidRPr="00764813">
        <w:t>the efficiency gap</w:t>
      </w:r>
      <w:r w:rsidR="000518F6">
        <w:t xml:space="preserve"> –</w:t>
      </w:r>
      <w:r w:rsidR="000A1572">
        <w:t xml:space="preserve"> </w:t>
      </w:r>
      <w:r w:rsidR="00E0302C">
        <w:t>don’t measure</w:t>
      </w:r>
      <w:r w:rsidR="000A1572">
        <w:t xml:space="preserve"> </w:t>
      </w:r>
      <w:r w:rsidR="00B06DCD">
        <w:t>it</w:t>
      </w:r>
      <w:r w:rsidR="00E0302C">
        <w:t xml:space="preserve"> specifically or aren’t reliable for states that are unbalanced politically. </w:t>
      </w:r>
      <w:r w:rsidR="006615CF">
        <w:t xml:space="preserve">In contrast, </w:t>
      </w:r>
      <w:r w:rsidR="00F164B2">
        <w:t xml:space="preserve">also </w:t>
      </w:r>
      <w:r w:rsidR="00235850">
        <w:t xml:space="preserve">show that </w:t>
      </w:r>
      <w:r w:rsidR="006615CF">
        <w:t>both</w:t>
      </w:r>
      <w:r w:rsidR="006615CF">
        <w:t xml:space="preserve"> disproportionality and the efficiency gap </w:t>
      </w:r>
      <w:r w:rsidR="006615CF">
        <w:t xml:space="preserve">do </w:t>
      </w:r>
      <w:r w:rsidR="006615CF">
        <w:t xml:space="preserve">measure </w:t>
      </w:r>
      <w:r w:rsidR="006615CF">
        <w:t>partisan advantage</w:t>
      </w:r>
      <w:r w:rsidR="006615CF">
        <w:t xml:space="preserve"> </w:t>
      </w:r>
      <w:r w:rsidR="006615CF">
        <w:t>and</w:t>
      </w:r>
      <w:r w:rsidR="006615CF">
        <w:t xml:space="preserve"> </w:t>
      </w:r>
      <w:r w:rsidR="00235850">
        <w:t>are reliable</w:t>
      </w:r>
      <w:r w:rsidR="006615CF">
        <w:t xml:space="preserve"> across a wide range of statewide vote shares. </w:t>
      </w:r>
    </w:p>
    <w:p w14:paraId="18BF2ECE" w14:textId="79735F50" w:rsidR="0087338C" w:rsidRDefault="0087338C" w:rsidP="00E0302C"/>
    <w:p w14:paraId="5A1C6F08" w14:textId="26525066" w:rsidR="0087338C" w:rsidRDefault="00787FC4" w:rsidP="00E0302C">
      <w:r>
        <w:t>This</w:t>
      </w:r>
      <w:r w:rsidR="0087338C">
        <w:t xml:space="preserve"> approach – using </w:t>
      </w:r>
      <w:r>
        <w:t xml:space="preserve">a measure of </w:t>
      </w:r>
      <w:r w:rsidR="0087338C">
        <w:t>partisan advantage with a</w:t>
      </w:r>
      <w:r w:rsidR="00A32258">
        <w:t xml:space="preserve">n </w:t>
      </w:r>
      <w:proofErr w:type="gramStart"/>
      <w:r w:rsidR="00A32258">
        <w:t>ideal</w:t>
      </w:r>
      <w:r w:rsidR="0087338C">
        <w:t xml:space="preserve"> seats</w:t>
      </w:r>
      <w:proofErr w:type="gramEnd"/>
      <w:r w:rsidR="0087338C">
        <w:t xml:space="preserve">–votes benchmark – </w:t>
      </w:r>
      <w:r w:rsidR="00622A78">
        <w:t>can</w:t>
      </w:r>
      <w:r w:rsidR="0087338C">
        <w:t xml:space="preserve"> be </w:t>
      </w:r>
      <w:r w:rsidR="00096CAE">
        <w:t>enshrined</w:t>
      </w:r>
      <w:r w:rsidR="0087338C">
        <w:t xml:space="preserve"> in new federal law, </w:t>
      </w:r>
      <w:r w:rsidR="00A32258">
        <w:t>like</w:t>
      </w:r>
      <w:r w:rsidR="0087338C">
        <w:t xml:space="preserve"> the Senate’s Freedom to Vote Act (S2747), </w:t>
      </w:r>
      <w:r w:rsidR="00622A78">
        <w:t>and</w:t>
      </w:r>
      <w:r w:rsidR="0087338C">
        <w:t xml:space="preserve"> in state constitutions, as </w:t>
      </w:r>
      <w:r w:rsidR="00A32258">
        <w:t xml:space="preserve">it is </w:t>
      </w:r>
      <w:r w:rsidR="0087338C">
        <w:t>in Ohio.</w:t>
      </w:r>
    </w:p>
    <w:p w14:paraId="551BB3E3" w14:textId="77777777" w:rsidR="008E26A2" w:rsidRDefault="008E26A2" w:rsidP="0001675E"/>
    <w:p w14:paraId="7D29FC40" w14:textId="6A9BD559" w:rsidR="00D82F6E" w:rsidRPr="001E5BCE" w:rsidRDefault="00D82F6E" w:rsidP="0001675E">
      <w:pPr>
        <w:rPr>
          <w:sz w:val="20"/>
          <w:szCs w:val="20"/>
        </w:rPr>
      </w:pPr>
      <w:r w:rsidRPr="001E5BCE">
        <w:rPr>
          <w:sz w:val="20"/>
          <w:szCs w:val="20"/>
        </w:rPr>
        <w:t>[end]</w:t>
      </w:r>
    </w:p>
    <w:sectPr w:rsidR="00D82F6E" w:rsidRPr="001E5BCE" w:rsidSect="00E00985">
      <w:footerReference w:type="even" r:id="rId11"/>
      <w:footerReference w:type="default" r:id="rId12"/>
      <w:footnotePr>
        <w:numRestart w:val="eachSect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BD5A" w14:textId="77777777" w:rsidR="00AF41D1" w:rsidRDefault="00AF41D1" w:rsidP="0001675E">
      <w:r>
        <w:separator/>
      </w:r>
    </w:p>
  </w:endnote>
  <w:endnote w:type="continuationSeparator" w:id="0">
    <w:p w14:paraId="720AADA4" w14:textId="77777777" w:rsidR="00AF41D1" w:rsidRDefault="00AF41D1" w:rsidP="000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51845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978B0E" w14:textId="0AC9BDEE" w:rsidR="00FC1E60" w:rsidRDefault="00FC1E60" w:rsidP="0001675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4F09EC" w14:textId="77777777" w:rsidR="00FC1E60" w:rsidRDefault="00FC1E60" w:rsidP="00016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41565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937773" w14:textId="078D6104" w:rsidR="00FC1E60" w:rsidRPr="00FC1E60" w:rsidRDefault="00FC1E60" w:rsidP="008E2BA9">
        <w:pPr>
          <w:pStyle w:val="Footer"/>
          <w:jc w:val="center"/>
          <w:rPr>
            <w:rStyle w:val="PageNumber"/>
            <w:sz w:val="20"/>
            <w:szCs w:val="20"/>
          </w:rPr>
        </w:pPr>
        <w:r w:rsidRPr="00FC1E60">
          <w:rPr>
            <w:rStyle w:val="PageNumber"/>
            <w:sz w:val="20"/>
            <w:szCs w:val="20"/>
          </w:rPr>
          <w:fldChar w:fldCharType="begin"/>
        </w:r>
        <w:r w:rsidRPr="00FC1E60">
          <w:rPr>
            <w:rStyle w:val="PageNumber"/>
            <w:sz w:val="20"/>
            <w:szCs w:val="20"/>
          </w:rPr>
          <w:instrText xml:space="preserve"> PAGE </w:instrText>
        </w:r>
        <w:r w:rsidRPr="00FC1E60">
          <w:rPr>
            <w:rStyle w:val="PageNumber"/>
            <w:sz w:val="20"/>
            <w:szCs w:val="20"/>
          </w:rPr>
          <w:fldChar w:fldCharType="separate"/>
        </w:r>
        <w:r w:rsidRPr="00FC1E60">
          <w:rPr>
            <w:rStyle w:val="PageNumber"/>
            <w:noProof/>
            <w:sz w:val="20"/>
            <w:szCs w:val="20"/>
          </w:rPr>
          <w:t>2</w:t>
        </w:r>
        <w:r w:rsidRPr="00FC1E60">
          <w:rPr>
            <w:rStyle w:val="PageNumber"/>
            <w:sz w:val="20"/>
            <w:szCs w:val="20"/>
          </w:rPr>
          <w:fldChar w:fldCharType="end"/>
        </w:r>
      </w:p>
    </w:sdtContent>
  </w:sdt>
  <w:p w14:paraId="1A9218FF" w14:textId="77777777" w:rsidR="00FC1E60" w:rsidRPr="00FC1E60" w:rsidRDefault="00FC1E60" w:rsidP="0001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05B36" w14:textId="77777777" w:rsidR="00AF41D1" w:rsidRDefault="00AF41D1" w:rsidP="0001675E">
      <w:r>
        <w:separator/>
      </w:r>
    </w:p>
  </w:footnote>
  <w:footnote w:type="continuationSeparator" w:id="0">
    <w:p w14:paraId="116A89D4" w14:textId="77777777" w:rsidR="00AF41D1" w:rsidRDefault="00AF41D1" w:rsidP="000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794"/>
    <w:multiLevelType w:val="hybridMultilevel"/>
    <w:tmpl w:val="82045CFC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152"/>
    <w:multiLevelType w:val="hybridMultilevel"/>
    <w:tmpl w:val="EFEA6A6C"/>
    <w:lvl w:ilvl="0" w:tplc="10DE5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889"/>
    <w:multiLevelType w:val="hybridMultilevel"/>
    <w:tmpl w:val="C4E05F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30EFB"/>
    <w:multiLevelType w:val="hybridMultilevel"/>
    <w:tmpl w:val="A942FB86"/>
    <w:lvl w:ilvl="0" w:tplc="1220D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194C"/>
    <w:multiLevelType w:val="hybridMultilevel"/>
    <w:tmpl w:val="27D45892"/>
    <w:lvl w:ilvl="0" w:tplc="AF480A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34A1D"/>
    <w:multiLevelType w:val="hybridMultilevel"/>
    <w:tmpl w:val="DBE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837B2"/>
    <w:multiLevelType w:val="hybridMultilevel"/>
    <w:tmpl w:val="CD8C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6B24"/>
    <w:multiLevelType w:val="hybridMultilevel"/>
    <w:tmpl w:val="3D4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5574"/>
    <w:multiLevelType w:val="hybridMultilevel"/>
    <w:tmpl w:val="0D5CDB76"/>
    <w:lvl w:ilvl="0" w:tplc="8AA67A9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05C72"/>
    <w:multiLevelType w:val="hybridMultilevel"/>
    <w:tmpl w:val="B71A1528"/>
    <w:lvl w:ilvl="0" w:tplc="A56EF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A6659"/>
    <w:multiLevelType w:val="hybridMultilevel"/>
    <w:tmpl w:val="050618FC"/>
    <w:lvl w:ilvl="0" w:tplc="F4E6BDC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A250E"/>
    <w:multiLevelType w:val="hybridMultilevel"/>
    <w:tmpl w:val="5F1C16F2"/>
    <w:lvl w:ilvl="0" w:tplc="C0EA60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76C61"/>
    <w:multiLevelType w:val="hybridMultilevel"/>
    <w:tmpl w:val="0D48D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F7049"/>
    <w:multiLevelType w:val="hybridMultilevel"/>
    <w:tmpl w:val="654A5E64"/>
    <w:lvl w:ilvl="0" w:tplc="E29E5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50BDC"/>
    <w:multiLevelType w:val="hybridMultilevel"/>
    <w:tmpl w:val="1C8EBE18"/>
    <w:lvl w:ilvl="0" w:tplc="FC9C9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66097"/>
    <w:multiLevelType w:val="hybridMultilevel"/>
    <w:tmpl w:val="47E6C750"/>
    <w:lvl w:ilvl="0" w:tplc="736EB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1777C"/>
    <w:multiLevelType w:val="hybridMultilevel"/>
    <w:tmpl w:val="6B18FDB2"/>
    <w:lvl w:ilvl="0" w:tplc="C58E68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721C2"/>
    <w:multiLevelType w:val="hybridMultilevel"/>
    <w:tmpl w:val="729685C0"/>
    <w:lvl w:ilvl="0" w:tplc="E1865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83FCF"/>
    <w:multiLevelType w:val="hybridMultilevel"/>
    <w:tmpl w:val="D66A4616"/>
    <w:lvl w:ilvl="0" w:tplc="37FAD02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D3F92"/>
    <w:multiLevelType w:val="hybridMultilevel"/>
    <w:tmpl w:val="57FE31D0"/>
    <w:lvl w:ilvl="0" w:tplc="2F66B2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B0528"/>
    <w:multiLevelType w:val="hybridMultilevel"/>
    <w:tmpl w:val="C3E226DE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85A47"/>
    <w:multiLevelType w:val="hybridMultilevel"/>
    <w:tmpl w:val="1FB4954C"/>
    <w:lvl w:ilvl="0" w:tplc="7542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23EE1"/>
    <w:multiLevelType w:val="hybridMultilevel"/>
    <w:tmpl w:val="EBB29702"/>
    <w:lvl w:ilvl="0" w:tplc="D004E9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E09A7"/>
    <w:multiLevelType w:val="hybridMultilevel"/>
    <w:tmpl w:val="09CA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23874"/>
    <w:multiLevelType w:val="hybridMultilevel"/>
    <w:tmpl w:val="D45E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9"/>
  </w:num>
  <w:num w:numId="5">
    <w:abstractNumId w:val="14"/>
  </w:num>
  <w:num w:numId="6">
    <w:abstractNumId w:val="15"/>
  </w:num>
  <w:num w:numId="7">
    <w:abstractNumId w:val="13"/>
  </w:num>
  <w:num w:numId="8">
    <w:abstractNumId w:val="17"/>
  </w:num>
  <w:num w:numId="9">
    <w:abstractNumId w:val="3"/>
  </w:num>
  <w:num w:numId="10">
    <w:abstractNumId w:val="5"/>
  </w:num>
  <w:num w:numId="11">
    <w:abstractNumId w:val="4"/>
  </w:num>
  <w:num w:numId="12">
    <w:abstractNumId w:val="20"/>
  </w:num>
  <w:num w:numId="13">
    <w:abstractNumId w:val="12"/>
  </w:num>
  <w:num w:numId="14">
    <w:abstractNumId w:val="0"/>
  </w:num>
  <w:num w:numId="15">
    <w:abstractNumId w:val="24"/>
  </w:num>
  <w:num w:numId="16">
    <w:abstractNumId w:val="16"/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23"/>
  </w:num>
  <w:num w:numId="22">
    <w:abstractNumId w:val="11"/>
  </w:num>
  <w:num w:numId="23">
    <w:abstractNumId w:val="6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8"/>
    <w:rsid w:val="00001574"/>
    <w:rsid w:val="000024BF"/>
    <w:rsid w:val="00011EA9"/>
    <w:rsid w:val="0001675E"/>
    <w:rsid w:val="000169A1"/>
    <w:rsid w:val="0003093D"/>
    <w:rsid w:val="00031D10"/>
    <w:rsid w:val="00031D54"/>
    <w:rsid w:val="00031E44"/>
    <w:rsid w:val="00042DB0"/>
    <w:rsid w:val="000455FA"/>
    <w:rsid w:val="00047199"/>
    <w:rsid w:val="000477B3"/>
    <w:rsid w:val="000518F6"/>
    <w:rsid w:val="00051ED9"/>
    <w:rsid w:val="000523EE"/>
    <w:rsid w:val="00060568"/>
    <w:rsid w:val="00060D40"/>
    <w:rsid w:val="00071C58"/>
    <w:rsid w:val="0007544D"/>
    <w:rsid w:val="000769E9"/>
    <w:rsid w:val="0007768C"/>
    <w:rsid w:val="00083ED9"/>
    <w:rsid w:val="00084058"/>
    <w:rsid w:val="00087BBC"/>
    <w:rsid w:val="00096CAE"/>
    <w:rsid w:val="000A1572"/>
    <w:rsid w:val="000A7DD8"/>
    <w:rsid w:val="000B5EF9"/>
    <w:rsid w:val="000D36EA"/>
    <w:rsid w:val="000E1707"/>
    <w:rsid w:val="000E3F8B"/>
    <w:rsid w:val="000E5A18"/>
    <w:rsid w:val="000E6934"/>
    <w:rsid w:val="000F4B90"/>
    <w:rsid w:val="000F4B9F"/>
    <w:rsid w:val="000F6348"/>
    <w:rsid w:val="000F6B37"/>
    <w:rsid w:val="00101F1D"/>
    <w:rsid w:val="00102CCB"/>
    <w:rsid w:val="00107C13"/>
    <w:rsid w:val="00111CAF"/>
    <w:rsid w:val="0012185E"/>
    <w:rsid w:val="00123DE6"/>
    <w:rsid w:val="001342A2"/>
    <w:rsid w:val="00135B48"/>
    <w:rsid w:val="00136A2D"/>
    <w:rsid w:val="00137C7B"/>
    <w:rsid w:val="0014444D"/>
    <w:rsid w:val="00144A7D"/>
    <w:rsid w:val="00151DCE"/>
    <w:rsid w:val="001569F9"/>
    <w:rsid w:val="00165823"/>
    <w:rsid w:val="00167225"/>
    <w:rsid w:val="00170F84"/>
    <w:rsid w:val="00172758"/>
    <w:rsid w:val="00173C12"/>
    <w:rsid w:val="00177D44"/>
    <w:rsid w:val="001811EA"/>
    <w:rsid w:val="00193EE6"/>
    <w:rsid w:val="001A12D8"/>
    <w:rsid w:val="001A66AD"/>
    <w:rsid w:val="001B3979"/>
    <w:rsid w:val="001B3C44"/>
    <w:rsid w:val="001B462B"/>
    <w:rsid w:val="001B6CA5"/>
    <w:rsid w:val="001C35C4"/>
    <w:rsid w:val="001D0617"/>
    <w:rsid w:val="001D2D70"/>
    <w:rsid w:val="001D4ACF"/>
    <w:rsid w:val="001E0630"/>
    <w:rsid w:val="001E2F83"/>
    <w:rsid w:val="001E3027"/>
    <w:rsid w:val="001E5BCE"/>
    <w:rsid w:val="001F5BED"/>
    <w:rsid w:val="00204B7C"/>
    <w:rsid w:val="002123C0"/>
    <w:rsid w:val="00215C35"/>
    <w:rsid w:val="00216EF5"/>
    <w:rsid w:val="00217397"/>
    <w:rsid w:val="002177C1"/>
    <w:rsid w:val="00232DAF"/>
    <w:rsid w:val="00235850"/>
    <w:rsid w:val="002411C1"/>
    <w:rsid w:val="00251742"/>
    <w:rsid w:val="00252DA2"/>
    <w:rsid w:val="002534EA"/>
    <w:rsid w:val="00254EBD"/>
    <w:rsid w:val="00254F32"/>
    <w:rsid w:val="00255D01"/>
    <w:rsid w:val="00274BCB"/>
    <w:rsid w:val="0028255F"/>
    <w:rsid w:val="002832DE"/>
    <w:rsid w:val="0028765A"/>
    <w:rsid w:val="00291E23"/>
    <w:rsid w:val="002920A7"/>
    <w:rsid w:val="00296064"/>
    <w:rsid w:val="00297F03"/>
    <w:rsid w:val="002A39DA"/>
    <w:rsid w:val="002A707F"/>
    <w:rsid w:val="002A7A76"/>
    <w:rsid w:val="002B3D4C"/>
    <w:rsid w:val="002C0496"/>
    <w:rsid w:val="002D126A"/>
    <w:rsid w:val="002D1863"/>
    <w:rsid w:val="002E4180"/>
    <w:rsid w:val="002E79F9"/>
    <w:rsid w:val="00314300"/>
    <w:rsid w:val="00320465"/>
    <w:rsid w:val="003205EE"/>
    <w:rsid w:val="003253A1"/>
    <w:rsid w:val="003406FA"/>
    <w:rsid w:val="00343E57"/>
    <w:rsid w:val="0034443E"/>
    <w:rsid w:val="00344D4D"/>
    <w:rsid w:val="00352A89"/>
    <w:rsid w:val="00370062"/>
    <w:rsid w:val="0037209B"/>
    <w:rsid w:val="003774D8"/>
    <w:rsid w:val="0038029B"/>
    <w:rsid w:val="00383C61"/>
    <w:rsid w:val="003876B6"/>
    <w:rsid w:val="00390806"/>
    <w:rsid w:val="00395C4D"/>
    <w:rsid w:val="003977F2"/>
    <w:rsid w:val="00397CC3"/>
    <w:rsid w:val="003A41AD"/>
    <w:rsid w:val="003A46A8"/>
    <w:rsid w:val="003B1C6B"/>
    <w:rsid w:val="003B3B3F"/>
    <w:rsid w:val="003C1CBA"/>
    <w:rsid w:val="003D2592"/>
    <w:rsid w:val="003E4300"/>
    <w:rsid w:val="003E63C5"/>
    <w:rsid w:val="003F0154"/>
    <w:rsid w:val="003F727C"/>
    <w:rsid w:val="00401F33"/>
    <w:rsid w:val="00407C05"/>
    <w:rsid w:val="00407CE5"/>
    <w:rsid w:val="00422525"/>
    <w:rsid w:val="00423DE7"/>
    <w:rsid w:val="00425316"/>
    <w:rsid w:val="004338B2"/>
    <w:rsid w:val="00443346"/>
    <w:rsid w:val="004439FA"/>
    <w:rsid w:val="00454101"/>
    <w:rsid w:val="00455B4C"/>
    <w:rsid w:val="00463ABA"/>
    <w:rsid w:val="00467D96"/>
    <w:rsid w:val="0047010F"/>
    <w:rsid w:val="00470E42"/>
    <w:rsid w:val="0047353B"/>
    <w:rsid w:val="00481304"/>
    <w:rsid w:val="00482F2F"/>
    <w:rsid w:val="0048681A"/>
    <w:rsid w:val="0049114F"/>
    <w:rsid w:val="00492FC6"/>
    <w:rsid w:val="004944EA"/>
    <w:rsid w:val="004A139E"/>
    <w:rsid w:val="004A3BB2"/>
    <w:rsid w:val="004A721C"/>
    <w:rsid w:val="004B17C1"/>
    <w:rsid w:val="004B3AEF"/>
    <w:rsid w:val="004B5044"/>
    <w:rsid w:val="004B53B9"/>
    <w:rsid w:val="004C1205"/>
    <w:rsid w:val="004C3FF4"/>
    <w:rsid w:val="004C50D5"/>
    <w:rsid w:val="004C5818"/>
    <w:rsid w:val="004C6BED"/>
    <w:rsid w:val="004C768A"/>
    <w:rsid w:val="004D2313"/>
    <w:rsid w:val="004D352B"/>
    <w:rsid w:val="004D7CE1"/>
    <w:rsid w:val="004E4DA0"/>
    <w:rsid w:val="004E522A"/>
    <w:rsid w:val="004E7394"/>
    <w:rsid w:val="004F6238"/>
    <w:rsid w:val="004F66A9"/>
    <w:rsid w:val="005058E1"/>
    <w:rsid w:val="00514871"/>
    <w:rsid w:val="00514FF0"/>
    <w:rsid w:val="00520511"/>
    <w:rsid w:val="00523773"/>
    <w:rsid w:val="00533520"/>
    <w:rsid w:val="0053729F"/>
    <w:rsid w:val="00545BCA"/>
    <w:rsid w:val="005475EA"/>
    <w:rsid w:val="00551FF2"/>
    <w:rsid w:val="0055438F"/>
    <w:rsid w:val="00555A6F"/>
    <w:rsid w:val="00556EBB"/>
    <w:rsid w:val="00561CD3"/>
    <w:rsid w:val="00570A2B"/>
    <w:rsid w:val="00581C16"/>
    <w:rsid w:val="00586932"/>
    <w:rsid w:val="005940FD"/>
    <w:rsid w:val="00594351"/>
    <w:rsid w:val="005A6A9F"/>
    <w:rsid w:val="005B11EC"/>
    <w:rsid w:val="005C1659"/>
    <w:rsid w:val="005E0128"/>
    <w:rsid w:val="005E02C5"/>
    <w:rsid w:val="005E327C"/>
    <w:rsid w:val="005F2962"/>
    <w:rsid w:val="005F5939"/>
    <w:rsid w:val="00600634"/>
    <w:rsid w:val="00606857"/>
    <w:rsid w:val="00606ACF"/>
    <w:rsid w:val="00614413"/>
    <w:rsid w:val="006216B8"/>
    <w:rsid w:val="00622A78"/>
    <w:rsid w:val="00626D62"/>
    <w:rsid w:val="0063373C"/>
    <w:rsid w:val="00633894"/>
    <w:rsid w:val="00634891"/>
    <w:rsid w:val="00634B2A"/>
    <w:rsid w:val="0064556D"/>
    <w:rsid w:val="00651FC2"/>
    <w:rsid w:val="0065520F"/>
    <w:rsid w:val="006615CF"/>
    <w:rsid w:val="006638FF"/>
    <w:rsid w:val="00667C26"/>
    <w:rsid w:val="006902E9"/>
    <w:rsid w:val="00691383"/>
    <w:rsid w:val="006A01AA"/>
    <w:rsid w:val="006B2F9C"/>
    <w:rsid w:val="006B7D92"/>
    <w:rsid w:val="006C328B"/>
    <w:rsid w:val="006D4D8F"/>
    <w:rsid w:val="006D7020"/>
    <w:rsid w:val="006D7925"/>
    <w:rsid w:val="006D7D7A"/>
    <w:rsid w:val="006E178B"/>
    <w:rsid w:val="006E1F63"/>
    <w:rsid w:val="006E2F18"/>
    <w:rsid w:val="006F5914"/>
    <w:rsid w:val="006F6FB7"/>
    <w:rsid w:val="00705167"/>
    <w:rsid w:val="0070598D"/>
    <w:rsid w:val="00707657"/>
    <w:rsid w:val="0071041C"/>
    <w:rsid w:val="00712D63"/>
    <w:rsid w:val="007168B2"/>
    <w:rsid w:val="007237F7"/>
    <w:rsid w:val="00724F07"/>
    <w:rsid w:val="00733220"/>
    <w:rsid w:val="007336AA"/>
    <w:rsid w:val="00741E39"/>
    <w:rsid w:val="00746D99"/>
    <w:rsid w:val="007510D2"/>
    <w:rsid w:val="0075787B"/>
    <w:rsid w:val="00757CEC"/>
    <w:rsid w:val="007634E9"/>
    <w:rsid w:val="00764813"/>
    <w:rsid w:val="007705D4"/>
    <w:rsid w:val="0077116F"/>
    <w:rsid w:val="00773CF4"/>
    <w:rsid w:val="00773FE4"/>
    <w:rsid w:val="00774413"/>
    <w:rsid w:val="00780E4D"/>
    <w:rsid w:val="00782E73"/>
    <w:rsid w:val="00786531"/>
    <w:rsid w:val="00787FC4"/>
    <w:rsid w:val="00791407"/>
    <w:rsid w:val="00792CB0"/>
    <w:rsid w:val="007A2F08"/>
    <w:rsid w:val="007A3054"/>
    <w:rsid w:val="007A5956"/>
    <w:rsid w:val="007B0F8B"/>
    <w:rsid w:val="007B3DDA"/>
    <w:rsid w:val="007C469A"/>
    <w:rsid w:val="007C7216"/>
    <w:rsid w:val="007D7825"/>
    <w:rsid w:val="007E0389"/>
    <w:rsid w:val="007F0EAC"/>
    <w:rsid w:val="007F224B"/>
    <w:rsid w:val="007F55D9"/>
    <w:rsid w:val="007F6758"/>
    <w:rsid w:val="007F6B6B"/>
    <w:rsid w:val="007F7F68"/>
    <w:rsid w:val="0081499F"/>
    <w:rsid w:val="00817165"/>
    <w:rsid w:val="00821ECC"/>
    <w:rsid w:val="008226A5"/>
    <w:rsid w:val="0083170E"/>
    <w:rsid w:val="00836224"/>
    <w:rsid w:val="008400A6"/>
    <w:rsid w:val="00841027"/>
    <w:rsid w:val="00850DE1"/>
    <w:rsid w:val="008535E3"/>
    <w:rsid w:val="00853BD6"/>
    <w:rsid w:val="00857CF3"/>
    <w:rsid w:val="00861776"/>
    <w:rsid w:val="00867FF4"/>
    <w:rsid w:val="0087338C"/>
    <w:rsid w:val="00873E21"/>
    <w:rsid w:val="0087511B"/>
    <w:rsid w:val="008765CA"/>
    <w:rsid w:val="00876DB2"/>
    <w:rsid w:val="00882E2B"/>
    <w:rsid w:val="00894661"/>
    <w:rsid w:val="00894B27"/>
    <w:rsid w:val="00895565"/>
    <w:rsid w:val="008A0E88"/>
    <w:rsid w:val="008B4180"/>
    <w:rsid w:val="008B4904"/>
    <w:rsid w:val="008B554A"/>
    <w:rsid w:val="008C0D47"/>
    <w:rsid w:val="008C1A0F"/>
    <w:rsid w:val="008D0B9F"/>
    <w:rsid w:val="008D0DB6"/>
    <w:rsid w:val="008D131A"/>
    <w:rsid w:val="008D5712"/>
    <w:rsid w:val="008D7084"/>
    <w:rsid w:val="008E02E2"/>
    <w:rsid w:val="008E26A2"/>
    <w:rsid w:val="008E2BA9"/>
    <w:rsid w:val="008E31F1"/>
    <w:rsid w:val="008E39F4"/>
    <w:rsid w:val="008E5F7F"/>
    <w:rsid w:val="008E6C1B"/>
    <w:rsid w:val="008F41E6"/>
    <w:rsid w:val="00900081"/>
    <w:rsid w:val="00916800"/>
    <w:rsid w:val="00925779"/>
    <w:rsid w:val="0093099B"/>
    <w:rsid w:val="00935F00"/>
    <w:rsid w:val="00947AF1"/>
    <w:rsid w:val="00950C27"/>
    <w:rsid w:val="00953470"/>
    <w:rsid w:val="00960500"/>
    <w:rsid w:val="0096183E"/>
    <w:rsid w:val="00962CD6"/>
    <w:rsid w:val="00970935"/>
    <w:rsid w:val="00970BC0"/>
    <w:rsid w:val="00976D98"/>
    <w:rsid w:val="00982A26"/>
    <w:rsid w:val="00983117"/>
    <w:rsid w:val="009902A9"/>
    <w:rsid w:val="009A1040"/>
    <w:rsid w:val="009A1D3C"/>
    <w:rsid w:val="009A25CE"/>
    <w:rsid w:val="009B2610"/>
    <w:rsid w:val="009B51D9"/>
    <w:rsid w:val="009B7268"/>
    <w:rsid w:val="009C393F"/>
    <w:rsid w:val="009C5D4D"/>
    <w:rsid w:val="009D3553"/>
    <w:rsid w:val="009D4054"/>
    <w:rsid w:val="009D6C6E"/>
    <w:rsid w:val="009E2643"/>
    <w:rsid w:val="009E2C9A"/>
    <w:rsid w:val="009E2DE7"/>
    <w:rsid w:val="009E7DF2"/>
    <w:rsid w:val="009F17E8"/>
    <w:rsid w:val="00A01197"/>
    <w:rsid w:val="00A1530C"/>
    <w:rsid w:val="00A2311C"/>
    <w:rsid w:val="00A25135"/>
    <w:rsid w:val="00A3164F"/>
    <w:rsid w:val="00A32258"/>
    <w:rsid w:val="00A338B1"/>
    <w:rsid w:val="00A34327"/>
    <w:rsid w:val="00A36884"/>
    <w:rsid w:val="00A42C3A"/>
    <w:rsid w:val="00A44CF3"/>
    <w:rsid w:val="00A507D9"/>
    <w:rsid w:val="00A64B95"/>
    <w:rsid w:val="00A6564B"/>
    <w:rsid w:val="00A7052F"/>
    <w:rsid w:val="00A77665"/>
    <w:rsid w:val="00A81C42"/>
    <w:rsid w:val="00A84C73"/>
    <w:rsid w:val="00A84DD6"/>
    <w:rsid w:val="00A94AF9"/>
    <w:rsid w:val="00A95F93"/>
    <w:rsid w:val="00A96D7A"/>
    <w:rsid w:val="00AA4570"/>
    <w:rsid w:val="00AA4DAD"/>
    <w:rsid w:val="00AA678C"/>
    <w:rsid w:val="00AA7C51"/>
    <w:rsid w:val="00AC2719"/>
    <w:rsid w:val="00AC5095"/>
    <w:rsid w:val="00AC6249"/>
    <w:rsid w:val="00AD2679"/>
    <w:rsid w:val="00AD4B9F"/>
    <w:rsid w:val="00AD5C8E"/>
    <w:rsid w:val="00AE5169"/>
    <w:rsid w:val="00AF22BB"/>
    <w:rsid w:val="00AF2FEF"/>
    <w:rsid w:val="00AF41D1"/>
    <w:rsid w:val="00AF663D"/>
    <w:rsid w:val="00AF7A54"/>
    <w:rsid w:val="00B03D8E"/>
    <w:rsid w:val="00B06DCD"/>
    <w:rsid w:val="00B072DF"/>
    <w:rsid w:val="00B07906"/>
    <w:rsid w:val="00B12613"/>
    <w:rsid w:val="00B1512C"/>
    <w:rsid w:val="00B20589"/>
    <w:rsid w:val="00B21328"/>
    <w:rsid w:val="00B227FA"/>
    <w:rsid w:val="00B2743F"/>
    <w:rsid w:val="00B41F1D"/>
    <w:rsid w:val="00B51F41"/>
    <w:rsid w:val="00B524F3"/>
    <w:rsid w:val="00B54C47"/>
    <w:rsid w:val="00B5614E"/>
    <w:rsid w:val="00B61C44"/>
    <w:rsid w:val="00B64A41"/>
    <w:rsid w:val="00B71975"/>
    <w:rsid w:val="00B72635"/>
    <w:rsid w:val="00B72C0C"/>
    <w:rsid w:val="00B8412F"/>
    <w:rsid w:val="00BA07BD"/>
    <w:rsid w:val="00BA17AA"/>
    <w:rsid w:val="00BA685B"/>
    <w:rsid w:val="00BA7ACF"/>
    <w:rsid w:val="00BB751C"/>
    <w:rsid w:val="00BC0805"/>
    <w:rsid w:val="00BC2F03"/>
    <w:rsid w:val="00BC4C64"/>
    <w:rsid w:val="00BC5581"/>
    <w:rsid w:val="00BD1A78"/>
    <w:rsid w:val="00BD7CE0"/>
    <w:rsid w:val="00BE2416"/>
    <w:rsid w:val="00BE580B"/>
    <w:rsid w:val="00BE722C"/>
    <w:rsid w:val="00BE759B"/>
    <w:rsid w:val="00BF2A62"/>
    <w:rsid w:val="00C00CEE"/>
    <w:rsid w:val="00C00D13"/>
    <w:rsid w:val="00C0729E"/>
    <w:rsid w:val="00C07342"/>
    <w:rsid w:val="00C11756"/>
    <w:rsid w:val="00C12C8E"/>
    <w:rsid w:val="00C13818"/>
    <w:rsid w:val="00C143F1"/>
    <w:rsid w:val="00C16A25"/>
    <w:rsid w:val="00C210AB"/>
    <w:rsid w:val="00C2584C"/>
    <w:rsid w:val="00C27568"/>
    <w:rsid w:val="00C32D02"/>
    <w:rsid w:val="00C36931"/>
    <w:rsid w:val="00C4011F"/>
    <w:rsid w:val="00C42F7D"/>
    <w:rsid w:val="00C4671E"/>
    <w:rsid w:val="00C51C17"/>
    <w:rsid w:val="00C52FDF"/>
    <w:rsid w:val="00C606A4"/>
    <w:rsid w:val="00C644CB"/>
    <w:rsid w:val="00C73D06"/>
    <w:rsid w:val="00C7783F"/>
    <w:rsid w:val="00C83A68"/>
    <w:rsid w:val="00C87114"/>
    <w:rsid w:val="00C87939"/>
    <w:rsid w:val="00C93995"/>
    <w:rsid w:val="00C95288"/>
    <w:rsid w:val="00C97039"/>
    <w:rsid w:val="00CA7127"/>
    <w:rsid w:val="00CB0602"/>
    <w:rsid w:val="00CB4A5F"/>
    <w:rsid w:val="00CB553D"/>
    <w:rsid w:val="00CC0E02"/>
    <w:rsid w:val="00CC21C3"/>
    <w:rsid w:val="00CC73FC"/>
    <w:rsid w:val="00CD0788"/>
    <w:rsid w:val="00CD10ED"/>
    <w:rsid w:val="00CD1788"/>
    <w:rsid w:val="00CD4588"/>
    <w:rsid w:val="00CE54CD"/>
    <w:rsid w:val="00CF1A6C"/>
    <w:rsid w:val="00CF47D9"/>
    <w:rsid w:val="00CF4C14"/>
    <w:rsid w:val="00CF7918"/>
    <w:rsid w:val="00D01446"/>
    <w:rsid w:val="00D026AD"/>
    <w:rsid w:val="00D03EB0"/>
    <w:rsid w:val="00D14B0F"/>
    <w:rsid w:val="00D1537C"/>
    <w:rsid w:val="00D20930"/>
    <w:rsid w:val="00D2688B"/>
    <w:rsid w:val="00D272D9"/>
    <w:rsid w:val="00D27936"/>
    <w:rsid w:val="00D37158"/>
    <w:rsid w:val="00D37D3E"/>
    <w:rsid w:val="00D479F2"/>
    <w:rsid w:val="00D51977"/>
    <w:rsid w:val="00D53960"/>
    <w:rsid w:val="00D56C36"/>
    <w:rsid w:val="00D612D4"/>
    <w:rsid w:val="00D6201D"/>
    <w:rsid w:val="00D633D9"/>
    <w:rsid w:val="00D64561"/>
    <w:rsid w:val="00D64E7A"/>
    <w:rsid w:val="00D7213C"/>
    <w:rsid w:val="00D723CD"/>
    <w:rsid w:val="00D75446"/>
    <w:rsid w:val="00D756F5"/>
    <w:rsid w:val="00D81058"/>
    <w:rsid w:val="00D81E80"/>
    <w:rsid w:val="00D8221F"/>
    <w:rsid w:val="00D82F6E"/>
    <w:rsid w:val="00D8512F"/>
    <w:rsid w:val="00D85247"/>
    <w:rsid w:val="00D90244"/>
    <w:rsid w:val="00D91248"/>
    <w:rsid w:val="00D936B1"/>
    <w:rsid w:val="00D97F58"/>
    <w:rsid w:val="00DA10C2"/>
    <w:rsid w:val="00DB24C1"/>
    <w:rsid w:val="00DB351C"/>
    <w:rsid w:val="00DB4E8C"/>
    <w:rsid w:val="00DC41C2"/>
    <w:rsid w:val="00DD5377"/>
    <w:rsid w:val="00DD7C50"/>
    <w:rsid w:val="00DE2978"/>
    <w:rsid w:val="00DE3D22"/>
    <w:rsid w:val="00DE5705"/>
    <w:rsid w:val="00DE7595"/>
    <w:rsid w:val="00DE7742"/>
    <w:rsid w:val="00E00985"/>
    <w:rsid w:val="00E0235B"/>
    <w:rsid w:val="00E0302C"/>
    <w:rsid w:val="00E05722"/>
    <w:rsid w:val="00E06687"/>
    <w:rsid w:val="00E06900"/>
    <w:rsid w:val="00E1086B"/>
    <w:rsid w:val="00E10F4C"/>
    <w:rsid w:val="00E12EF1"/>
    <w:rsid w:val="00E15059"/>
    <w:rsid w:val="00E17B00"/>
    <w:rsid w:val="00E2631E"/>
    <w:rsid w:val="00E26849"/>
    <w:rsid w:val="00E35F03"/>
    <w:rsid w:val="00E369DC"/>
    <w:rsid w:val="00E41E56"/>
    <w:rsid w:val="00E4333A"/>
    <w:rsid w:val="00E500FC"/>
    <w:rsid w:val="00E6055A"/>
    <w:rsid w:val="00E6383C"/>
    <w:rsid w:val="00E76B1A"/>
    <w:rsid w:val="00E86814"/>
    <w:rsid w:val="00EA0FF3"/>
    <w:rsid w:val="00EB7243"/>
    <w:rsid w:val="00EC1AF8"/>
    <w:rsid w:val="00EC30A5"/>
    <w:rsid w:val="00EC5A5D"/>
    <w:rsid w:val="00EC7C75"/>
    <w:rsid w:val="00ED21E8"/>
    <w:rsid w:val="00ED4F5E"/>
    <w:rsid w:val="00ED5175"/>
    <w:rsid w:val="00EE2BCF"/>
    <w:rsid w:val="00EF38BC"/>
    <w:rsid w:val="00F04A16"/>
    <w:rsid w:val="00F10213"/>
    <w:rsid w:val="00F13894"/>
    <w:rsid w:val="00F142FD"/>
    <w:rsid w:val="00F164B2"/>
    <w:rsid w:val="00F17A1A"/>
    <w:rsid w:val="00F2601F"/>
    <w:rsid w:val="00F35F9A"/>
    <w:rsid w:val="00F4149C"/>
    <w:rsid w:val="00F4171A"/>
    <w:rsid w:val="00F426C6"/>
    <w:rsid w:val="00F443CC"/>
    <w:rsid w:val="00F4707E"/>
    <w:rsid w:val="00F53762"/>
    <w:rsid w:val="00F55156"/>
    <w:rsid w:val="00F565EE"/>
    <w:rsid w:val="00F6315D"/>
    <w:rsid w:val="00F64363"/>
    <w:rsid w:val="00F66B37"/>
    <w:rsid w:val="00F73275"/>
    <w:rsid w:val="00F732D6"/>
    <w:rsid w:val="00F7594B"/>
    <w:rsid w:val="00F777D5"/>
    <w:rsid w:val="00F82657"/>
    <w:rsid w:val="00F835E5"/>
    <w:rsid w:val="00F86D6B"/>
    <w:rsid w:val="00F91247"/>
    <w:rsid w:val="00F97541"/>
    <w:rsid w:val="00FA0677"/>
    <w:rsid w:val="00FA13FB"/>
    <w:rsid w:val="00FA7398"/>
    <w:rsid w:val="00FB42FD"/>
    <w:rsid w:val="00FB47FB"/>
    <w:rsid w:val="00FC1E60"/>
    <w:rsid w:val="00FC28CB"/>
    <w:rsid w:val="00FD0A3B"/>
    <w:rsid w:val="00FD3225"/>
    <w:rsid w:val="00FD35C2"/>
    <w:rsid w:val="00FE32F0"/>
    <w:rsid w:val="00FF0949"/>
    <w:rsid w:val="00F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47DF4"/>
  <w15:chartTrackingRefBased/>
  <w15:docId w15:val="{5DD67035-72F5-8047-AE6D-1B2E2F36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5E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1AA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color w:val="000000" w:themeColor="text1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A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441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69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2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8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CF4C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4C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C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1E60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E60"/>
  </w:style>
  <w:style w:type="paragraph" w:styleId="Footer">
    <w:name w:val="footer"/>
    <w:basedOn w:val="Normal"/>
    <w:link w:val="FooterChar"/>
    <w:uiPriority w:val="99"/>
    <w:unhideWhenUsed/>
    <w:rsid w:val="00FC1E60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E60"/>
  </w:style>
  <w:style w:type="character" w:styleId="PageNumber">
    <w:name w:val="page number"/>
    <w:basedOn w:val="DefaultParagraphFont"/>
    <w:uiPriority w:val="99"/>
    <w:semiHidden/>
    <w:unhideWhenUsed/>
    <w:rsid w:val="00FC1E60"/>
  </w:style>
  <w:style w:type="character" w:styleId="PlaceholderText">
    <w:name w:val="Placeholder Text"/>
    <w:basedOn w:val="DefaultParagraphFont"/>
    <w:uiPriority w:val="99"/>
    <w:semiHidden/>
    <w:rsid w:val="007F224B"/>
    <w:rPr>
      <w:color w:val="808080"/>
    </w:rPr>
  </w:style>
  <w:style w:type="paragraph" w:customStyle="1" w:styleId="Equation">
    <w:name w:val="Equation"/>
    <w:basedOn w:val="Normal"/>
    <w:qFormat/>
    <w:rsid w:val="00E1086B"/>
    <w:pPr>
      <w:spacing w:before="12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01AA"/>
    <w:rPr>
      <w:rFonts w:asciiTheme="majorHAnsi" w:eastAsiaTheme="majorEastAsia" w:hAnsiTheme="majorHAnsi" w:cstheme="majorHAnsi"/>
      <w:color w:val="000000" w:themeColor="tex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7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D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D4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44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43C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D13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esredistricting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srn.com/abstract=39965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ectionlawblog.org/?p=1246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87EB4-0C51-EB4E-867E-2BFCB1FE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474</cp:revision>
  <dcterms:created xsi:type="dcterms:W3CDTF">2021-10-15T14:47:00Z</dcterms:created>
  <dcterms:modified xsi:type="dcterms:W3CDTF">2022-01-14T17:20:00Z</dcterms:modified>
</cp:coreProperties>
</file>