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0FEF" w14:textId="15215305" w:rsidR="00FF0949" w:rsidRDefault="00017EFE">
      <w:r>
        <w:t>These are the main</w:t>
      </w:r>
      <w:r w:rsidR="00D02757">
        <w:t xml:space="preserve"> partisan analytics</w:t>
      </w:r>
      <w:r>
        <w:t xml:space="preserve"> that DRA computes for an election, along with the abbreviations used in this report.</w:t>
      </w:r>
      <w:r>
        <w:rPr>
          <w:rStyle w:val="FootnoteReference"/>
        </w:rPr>
        <w:footnoteReference w:id="1"/>
      </w:r>
    </w:p>
    <w:p w14:paraId="2A3A275C" w14:textId="77777777" w:rsidR="00CB3AF9" w:rsidRDefault="00CB3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30DC" w14:paraId="048B414F" w14:textId="77777777" w:rsidTr="00CB3AF9">
        <w:tc>
          <w:tcPr>
            <w:tcW w:w="1525" w:type="dxa"/>
          </w:tcPr>
          <w:p w14:paraId="33320E73" w14:textId="778532A3" w:rsidR="00E730DC" w:rsidRPr="00CB3AF9" w:rsidRDefault="00E730DC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226129BF" w14:textId="776D0BEF" w:rsidR="00E730DC" w:rsidRPr="00CB3AF9" w:rsidRDefault="00E730DC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30DC" w14:paraId="3740748A" w14:textId="77777777" w:rsidTr="00CB3AF9">
        <w:tc>
          <w:tcPr>
            <w:tcW w:w="1525" w:type="dxa"/>
          </w:tcPr>
          <w:p w14:paraId="6D551AA9" w14:textId="6BAD93EB" w:rsidR="00E730DC" w:rsidRDefault="00E730DC">
            <w:r>
              <w:t>EG</w:t>
            </w:r>
          </w:p>
        </w:tc>
        <w:tc>
          <w:tcPr>
            <w:tcW w:w="7825" w:type="dxa"/>
          </w:tcPr>
          <w:p w14:paraId="74ECB09D" w14:textId="1CCE873E" w:rsidR="00E730DC" w:rsidRDefault="00CB3AF9">
            <w:r>
              <w:t>Efficiency gap (</w:t>
            </w:r>
            <m:oMath>
              <m:r>
                <w:rPr>
                  <w:rFonts w:ascii="Cambria Math" w:hAnsi="Cambria Math"/>
                </w:rPr>
                <m:t>EG</m:t>
              </m:r>
            </m:oMath>
            <w:r>
              <w:t>)</w:t>
            </w:r>
          </w:p>
        </w:tc>
      </w:tr>
      <w:tr w:rsidR="00E730DC" w14:paraId="62695A61" w14:textId="77777777" w:rsidTr="00CB3AF9">
        <w:tc>
          <w:tcPr>
            <w:tcW w:w="1525" w:type="dxa"/>
          </w:tcPr>
          <w:p w14:paraId="3EC3B590" w14:textId="3EFDAF47" w:rsidR="00E730DC" w:rsidRDefault="00E730DC">
            <w:r>
              <w:t>PROP</w:t>
            </w:r>
          </w:p>
        </w:tc>
        <w:tc>
          <w:tcPr>
            <w:tcW w:w="7825" w:type="dxa"/>
          </w:tcPr>
          <w:p w14:paraId="75193092" w14:textId="72D5C1B4" w:rsidR="00E730DC" w:rsidRDefault="00CB3AF9">
            <w:r>
              <w:t>Proportionality (</w:t>
            </w:r>
            <m:oMath>
              <m:r>
                <w:rPr>
                  <w:rFonts w:ascii="Cambria Math" w:hAnsi="Cambria Math"/>
                </w:rPr>
                <m:t>PR</m:t>
              </m:r>
            </m:oMath>
            <w:r>
              <w:t>)</w:t>
            </w:r>
          </w:p>
        </w:tc>
      </w:tr>
      <w:tr w:rsidR="00E730DC" w14:paraId="6872E470" w14:textId="77777777" w:rsidTr="00CB3AF9">
        <w:tc>
          <w:tcPr>
            <w:tcW w:w="1525" w:type="dxa"/>
          </w:tcPr>
          <w:p w14:paraId="7EBD397D" w14:textId="2FEC0A9B" w:rsidR="00E730DC" w:rsidRDefault="00E730DC">
            <w:r>
              <w:t>BS_50</w:t>
            </w:r>
          </w:p>
        </w:tc>
        <w:tc>
          <w:tcPr>
            <w:tcW w:w="7825" w:type="dxa"/>
          </w:tcPr>
          <w:p w14:paraId="3C537316" w14:textId="211C5CEA" w:rsidR="00E730DC" w:rsidRDefault="00CB3AF9">
            <w:r>
              <w:t>S</w:t>
            </w:r>
            <w:r w:rsidRPr="00CF18FB">
              <w:t>eat bias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CF18FB">
              <w:t>)</w:t>
            </w:r>
          </w:p>
        </w:tc>
      </w:tr>
      <w:tr w:rsidR="00E730DC" w14:paraId="679E2D0C" w14:textId="77777777" w:rsidTr="00CB3AF9">
        <w:tc>
          <w:tcPr>
            <w:tcW w:w="1525" w:type="dxa"/>
          </w:tcPr>
          <w:p w14:paraId="1AB2878A" w14:textId="6F5141C0" w:rsidR="00E730DC" w:rsidRDefault="00E730DC">
            <w:r>
              <w:t>BV_50</w:t>
            </w:r>
          </w:p>
        </w:tc>
        <w:tc>
          <w:tcPr>
            <w:tcW w:w="7825" w:type="dxa"/>
          </w:tcPr>
          <w:p w14:paraId="4E066D5B" w14:textId="43E193B8" w:rsidR="00E730DC" w:rsidRDefault="00CB3AF9">
            <w:r>
              <w:t>V</w:t>
            </w:r>
            <w:r w:rsidRPr="00CF18FB">
              <w:t>ote bias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Pr="00CF18FB">
              <w:t>)</w:t>
            </w:r>
          </w:p>
        </w:tc>
      </w:tr>
      <w:tr w:rsidR="00CB3AF9" w14:paraId="0C9AB995" w14:textId="77777777" w:rsidTr="00CB3AF9">
        <w:tc>
          <w:tcPr>
            <w:tcW w:w="1525" w:type="dxa"/>
          </w:tcPr>
          <w:p w14:paraId="42A8D37D" w14:textId="24ED7F47" w:rsidR="00CB3AF9" w:rsidRDefault="00CB3AF9" w:rsidP="00CB3AF9">
            <w:r>
              <w:t>BS_V</w:t>
            </w:r>
          </w:p>
        </w:tc>
        <w:tc>
          <w:tcPr>
            <w:tcW w:w="7825" w:type="dxa"/>
          </w:tcPr>
          <w:p w14:paraId="61C6398D" w14:textId="463891B9" w:rsidR="00CB3AF9" w:rsidRDefault="00CB3AF9" w:rsidP="00CB3AF9">
            <w:r>
              <w:t>G</w:t>
            </w:r>
            <w:r w:rsidRPr="00CF18FB">
              <w:t>eometric seat bias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CF18FB">
              <w:t>)</w:t>
            </w:r>
          </w:p>
        </w:tc>
      </w:tr>
      <w:tr w:rsidR="00CB3AF9" w14:paraId="2D0E27C0" w14:textId="77777777" w:rsidTr="00CB3AF9">
        <w:tc>
          <w:tcPr>
            <w:tcW w:w="1525" w:type="dxa"/>
          </w:tcPr>
          <w:p w14:paraId="3A332244" w14:textId="7A777595" w:rsidR="00CB3AF9" w:rsidRDefault="00CB3AF9" w:rsidP="00CB3AF9">
            <w:r>
              <w:t>GS</w:t>
            </w:r>
          </w:p>
        </w:tc>
        <w:tc>
          <w:tcPr>
            <w:tcW w:w="7825" w:type="dxa"/>
          </w:tcPr>
          <w:p w14:paraId="56B65CAC" w14:textId="33BF8B5A" w:rsidR="00CB3AF9" w:rsidRDefault="00CB3AF9" w:rsidP="00CB3AF9">
            <w:r>
              <w:t>G</w:t>
            </w:r>
            <w:r w:rsidRPr="00CF18FB">
              <w:t>lobal symmetry (</w:t>
            </w:r>
            <m:oMath>
              <m:r>
                <w:rPr>
                  <w:rFonts w:ascii="Cambria Math" w:hAnsi="Cambria Math"/>
                </w:rPr>
                <m:t>GS</m:t>
              </m:r>
            </m:oMath>
            <w:r w:rsidRPr="00CF18FB">
              <w:t>)</w:t>
            </w:r>
          </w:p>
        </w:tc>
      </w:tr>
      <w:tr w:rsidR="00CB3AF9" w14:paraId="7F0244C0" w14:textId="77777777" w:rsidTr="00CB3AF9">
        <w:tc>
          <w:tcPr>
            <w:tcW w:w="1525" w:type="dxa"/>
          </w:tcPr>
          <w:p w14:paraId="0595AC84" w14:textId="36865186" w:rsidR="00CB3AF9" w:rsidRDefault="00CB3AF9" w:rsidP="00CB3AF9">
            <w:r>
              <w:t>DECL</w:t>
            </w:r>
          </w:p>
        </w:tc>
        <w:tc>
          <w:tcPr>
            <w:tcW w:w="7825" w:type="dxa"/>
          </w:tcPr>
          <w:p w14:paraId="5A07F9AD" w14:textId="038B71B2" w:rsidR="00CB3AF9" w:rsidRDefault="00CB3AF9" w:rsidP="00CB3AF9">
            <w:r>
              <w:t>D</w:t>
            </w:r>
            <w:r w:rsidRPr="00A92D3F">
              <w:t>eclination (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Pr="00A92D3F">
              <w:t>)</w:t>
            </w:r>
          </w:p>
        </w:tc>
      </w:tr>
      <w:tr w:rsidR="00CB3AF9" w14:paraId="10FEAE72" w14:textId="77777777" w:rsidTr="00CB3AF9">
        <w:tc>
          <w:tcPr>
            <w:tcW w:w="1525" w:type="dxa"/>
          </w:tcPr>
          <w:p w14:paraId="151470F7" w14:textId="16BBDA74" w:rsidR="00CB3AF9" w:rsidRDefault="00CB3AF9" w:rsidP="00CB3AF9">
            <w:r>
              <w:t>MM</w:t>
            </w:r>
          </w:p>
        </w:tc>
        <w:tc>
          <w:tcPr>
            <w:tcW w:w="7825" w:type="dxa"/>
          </w:tcPr>
          <w:p w14:paraId="4C3E66E8" w14:textId="33609319" w:rsidR="00CB3AF9" w:rsidRDefault="00CB3AF9" w:rsidP="00CB3AF9">
            <w:r>
              <w:t>M</w:t>
            </w:r>
            <w:r w:rsidRPr="00A92D3F">
              <w:t>ean–median (</w:t>
            </w:r>
            <m:oMath>
              <m:r>
                <w:rPr>
                  <w:rFonts w:ascii="Cambria Math" w:hAnsi="Cambria Math"/>
                </w:rPr>
                <m:t>MM</m:t>
              </m:r>
            </m:oMath>
            <w:r w:rsidRPr="00A92D3F">
              <w:t>)</w:t>
            </w:r>
          </w:p>
        </w:tc>
      </w:tr>
      <w:tr w:rsidR="00CB3AF9" w14:paraId="5969867D" w14:textId="77777777" w:rsidTr="00CB3AF9">
        <w:tc>
          <w:tcPr>
            <w:tcW w:w="1525" w:type="dxa"/>
          </w:tcPr>
          <w:p w14:paraId="15770EED" w14:textId="6CC3F854" w:rsidR="00CB3AF9" w:rsidRDefault="00CB3AF9" w:rsidP="00CB3AF9">
            <w:r>
              <w:t>LO</w:t>
            </w:r>
          </w:p>
        </w:tc>
        <w:tc>
          <w:tcPr>
            <w:tcW w:w="7825" w:type="dxa"/>
          </w:tcPr>
          <w:p w14:paraId="138466D4" w14:textId="3FF1B6CC" w:rsidR="00CB3AF9" w:rsidRDefault="00CB3AF9" w:rsidP="00CB3AF9">
            <w:r>
              <w:t>L</w:t>
            </w:r>
            <w:r w:rsidRPr="00A92D3F">
              <w:t>opsided outcomes (</w:t>
            </w:r>
            <m:oMath>
              <m:r>
                <w:rPr>
                  <w:rFonts w:ascii="Cambria Math" w:hAnsi="Cambria Math"/>
                </w:rPr>
                <m:t>LO</m:t>
              </m:r>
            </m:oMath>
            <w:r w:rsidRPr="00A92D3F">
              <w:t>)</w:t>
            </w:r>
          </w:p>
        </w:tc>
      </w:tr>
      <w:tr w:rsidR="00CB3AF9" w14:paraId="4F265659" w14:textId="77777777" w:rsidTr="00CB3AF9">
        <w:tc>
          <w:tcPr>
            <w:tcW w:w="1525" w:type="dxa"/>
          </w:tcPr>
          <w:p w14:paraId="3666B21C" w14:textId="0CCB61BD" w:rsidR="00CB3AF9" w:rsidRDefault="00CB3AF9" w:rsidP="00CB3AF9">
            <w:r>
              <w:t>R</w:t>
            </w:r>
          </w:p>
        </w:tc>
        <w:tc>
          <w:tcPr>
            <w:tcW w:w="7825" w:type="dxa"/>
          </w:tcPr>
          <w:p w14:paraId="1CCBBD35" w14:textId="6A60B042" w:rsidR="00CB3AF9" w:rsidRDefault="00CB3AF9" w:rsidP="00CB3AF9">
            <w:r>
              <w:t>Winner’s bonus (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>)</w:t>
            </w:r>
          </w:p>
        </w:tc>
      </w:tr>
      <w:tr w:rsidR="00CB3AF9" w14:paraId="24784B2A" w14:textId="77777777" w:rsidTr="00CB3AF9">
        <w:tc>
          <w:tcPr>
            <w:tcW w:w="1525" w:type="dxa"/>
          </w:tcPr>
          <w:p w14:paraId="3F00C0E0" w14:textId="35E8411B" w:rsidR="00CB3AF9" w:rsidRDefault="00CB3AF9" w:rsidP="00CB3AF9">
            <w:r>
              <w:t>r</w:t>
            </w:r>
          </w:p>
        </w:tc>
        <w:tc>
          <w:tcPr>
            <w:tcW w:w="7825" w:type="dxa"/>
          </w:tcPr>
          <w:p w14:paraId="1AF42D3D" w14:textId="04F385EC" w:rsidR="00CB3AF9" w:rsidRDefault="00CB3AF9" w:rsidP="00CB3AF9">
            <w:r>
              <w:t>Responsiveness (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>
              <w:t>)</w:t>
            </w:r>
          </w:p>
        </w:tc>
      </w:tr>
    </w:tbl>
    <w:p w14:paraId="64407D35" w14:textId="1910560A" w:rsidR="00E730DC" w:rsidRDefault="00E730DC"/>
    <w:p w14:paraId="22C173CF" w14:textId="3CCC9C92" w:rsidR="00E730DC" w:rsidRDefault="00E730DC"/>
    <w:sectPr w:rsidR="00E7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F306" w14:textId="77777777" w:rsidR="00503CF5" w:rsidRDefault="00503CF5" w:rsidP="00017EFE">
      <w:r>
        <w:separator/>
      </w:r>
    </w:p>
  </w:endnote>
  <w:endnote w:type="continuationSeparator" w:id="0">
    <w:p w14:paraId="6481156F" w14:textId="77777777" w:rsidR="00503CF5" w:rsidRDefault="00503CF5" w:rsidP="0001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F9F1" w14:textId="77777777" w:rsidR="00503CF5" w:rsidRDefault="00503CF5" w:rsidP="00017EFE">
      <w:r>
        <w:separator/>
      </w:r>
    </w:p>
  </w:footnote>
  <w:footnote w:type="continuationSeparator" w:id="0">
    <w:p w14:paraId="452DE292" w14:textId="77777777" w:rsidR="00503CF5" w:rsidRDefault="00503CF5" w:rsidP="00017EFE">
      <w:r>
        <w:continuationSeparator/>
      </w:r>
    </w:p>
  </w:footnote>
  <w:footnote w:id="1">
    <w:p w14:paraId="3A7AAED3" w14:textId="199F5534" w:rsidR="00017EFE" w:rsidRDefault="00017EFE">
      <w:pPr>
        <w:pStyle w:val="FootnoteText"/>
      </w:pPr>
      <w:r>
        <w:rPr>
          <w:rStyle w:val="FootnoteReference"/>
        </w:rPr>
        <w:footnoteRef/>
      </w:r>
      <w:r>
        <w:t xml:space="preserve"> Notably, Jon </w:t>
      </w:r>
      <w:proofErr w:type="spellStart"/>
      <w:r>
        <w:t>Eguia’s</w:t>
      </w:r>
      <w:proofErr w:type="spellEnd"/>
      <w:r>
        <w:t xml:space="preserve"> partisan advantage with a jurisdictional baseline is not included. It requires county-level information which is available in DRA proper. This analysis used the standalone analytics functionality (dra2020/</w:t>
      </w:r>
      <w:proofErr w:type="spellStart"/>
      <w:r>
        <w:t>dra</w:t>
      </w:r>
      <w:proofErr w:type="spellEnd"/>
      <w:r>
        <w:t>-analytics) which does not have that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6B"/>
    <w:rsid w:val="00017EFE"/>
    <w:rsid w:val="0014444D"/>
    <w:rsid w:val="00503CF5"/>
    <w:rsid w:val="00B47429"/>
    <w:rsid w:val="00CB3AF9"/>
    <w:rsid w:val="00D02757"/>
    <w:rsid w:val="00D05163"/>
    <w:rsid w:val="00E5446B"/>
    <w:rsid w:val="00E730DC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17BD"/>
  <w15:chartTrackingRefBased/>
  <w15:docId w15:val="{EA57F348-8D3E-0844-AABE-1EAF8B6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6B"/>
    <w:pPr>
      <w:ind w:left="720"/>
      <w:contextualSpacing/>
    </w:pPr>
  </w:style>
  <w:style w:type="table" w:styleId="TableGrid">
    <w:name w:val="Table Grid"/>
    <w:basedOn w:val="TableNormal"/>
    <w:uiPriority w:val="39"/>
    <w:rsid w:val="00E7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17E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7E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7E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</cp:revision>
  <dcterms:created xsi:type="dcterms:W3CDTF">2022-06-30T13:22:00Z</dcterms:created>
  <dcterms:modified xsi:type="dcterms:W3CDTF">2022-06-30T13:47:00Z</dcterms:modified>
</cp:coreProperties>
</file>