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при наличии АТ-ТПО: у 3 из 6 детей против 3 из 32 (p = 0,039).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rPr>
          <w:highlight w:val="cyan"/>
        </w:rPr>
        <w:t xml:space="preserve">Сахарный диабет диагностировали по критериям ISPAD 2022 </w:t>
      </w:r>
      <w:r>
        <w:t xml:space="preserve">[22]</w:t>
      </w:r>
      <w:r>
        <w:rPr>
          <w:highlight w:val="cyan"/>
        </w:rPr>
        <w:t xml:space="preserve">: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rPr>
          <w:highlight w:val="cyan"/>
        </w:rP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rPr>
          <w:highlight w:val="cyan"/>
        </w:rPr>
        <w:t xml:space="preserve">Кровь для всех исследований брали однократно в период госпитализации.</w:t>
      </w:r>
      <w:r>
        <w:t xml:space="preserve">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оценивали по педиатрическим референсным интервалам лаборатории: ТТГ 0,7-5,7 мМЕ/л, свободный Т4 10-22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w:t>
      </w:r>
      <w:r>
        <w:rPr>
          <w:highlight w:val="cyan"/>
        </w:rPr>
        <w:t xml:space="preserve">Дефицитом витамина D считали концентрацию 25(OH)D ниже 20 нг/мл (50 нмоль/л) </w:t>
      </w:r>
      <w:r>
        <w:t xml:space="preserve">[14].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rPr>
          <w:highlight w:val="cyan"/>
        </w:rPr>
        <w:t xml:space="preserve">Исследование проведено в соответствии с Хельсинкской декларацией и одобрено локальным этическим комитетом РСНПМЦЭ </w:t>
      </w:r>
      <w:r>
        <w:t xml:space="preserve">(протокол № 12 от 15.01.2021). </w:t>
      </w:r>
      <w:r>
        <w:rPr>
          <w:highlight w:val="cyan"/>
        </w:rPr>
        <w:t xml:space="preserve">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w:t>
      </w:r>
      <w:r>
        <w:rPr>
          <w:highlight w:val="cyan"/>
        </w:rPr>
        <w:t xml:space="preserve">С-пептид и генетическое обследование не проводили, поэтому моногенный диабет исключали только клинически.</w:t>
      </w:r>
      <w:r>
        <w:t xml:space="preserve">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