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E7FDD" w14:textId="77777777" w:rsidR="004E3FBE" w:rsidRDefault="004E3FBE" w:rsidP="004E3FBE">
      <w:pPr>
        <w:rPr>
          <w:color w:val="auto"/>
          <w:szCs w:val="28"/>
        </w:rPr>
      </w:pPr>
      <w:r>
        <w:rPr>
          <w:color w:val="auto"/>
          <w:szCs w:val="28"/>
        </w:rPr>
        <w:t xml:space="preserve">УДК : 616.462 : 612.017 : </w:t>
      </w:r>
      <w:r>
        <w:rPr>
          <w:b/>
          <w:bCs/>
          <w:color w:val="auto"/>
          <w:szCs w:val="28"/>
        </w:rPr>
        <w:t>616.441-002-097</w:t>
      </w:r>
      <w:r>
        <w:rPr>
          <w:color w:val="auto"/>
          <w:szCs w:val="28"/>
        </w:rPr>
        <w:t xml:space="preserve"> - 07 (575.1)</w:t>
      </w:r>
    </w:p>
    <w:p w14:paraId="6E2BED7E" w14:textId="77777777" w:rsidR="004E3FBE" w:rsidRPr="00FB27AF" w:rsidRDefault="004E3FBE" w:rsidP="004E3FBE">
      <w:pPr>
        <w:rPr>
          <w:color w:val="auto"/>
          <w:szCs w:val="28"/>
        </w:rPr>
      </w:pPr>
    </w:p>
    <w:p>
      <w:pPr>
        <w:keepNext/>
        <w:spacing w:line="360" w:lineRule="auto"/>
        <w:jc w:val="center"/>
        <w:rPr>
          <w:b/>
        </w:rPr>
      </w:pPr>
      <w:r>
        <w:rPr>
          <w:b/>
        </w:rPr>
        <w:t xml:space="preserve">ЧАСТОТА ВЫЯВЛЕНИЯ АУТОАНТИТЕЛ К GAD65, ИНСУЛИНУ И ТИРЕОПЕРОКСИДАЗЕ У ДЕТЕЙ С ВПЕРВЫЕ ВЫЯВЛЕННЫМ САХАРНЫМ ДИАБЕТОМ 1 ТИПА: ОДНОЦЕНТРОВОЕ ИССЛЕДОВАНИЕ</w:t>
      </w:r>
    </w:p>
    <w:p w14:paraId="2E4E6237" w14:textId="77777777" w:rsidR="004E3FBE" w:rsidRPr="00605426" w:rsidRDefault="004E3FBE" w:rsidP="004E3FBE">
      <w:pPr>
        <w:keepNext/>
        <w:spacing w:line="360" w:lineRule="auto"/>
        <w:jc w:val="center"/>
        <w:rPr>
          <w:szCs w:val="28"/>
        </w:rPr>
      </w:pPr>
    </w:p>
    <w:p>
      <w:pPr>
        <w:keepNext/>
        <w:spacing w:line="360" w:lineRule="auto"/>
        <w:jc w:val="center"/>
        <w:rPr>
          <w:b/>
        </w:rPr>
      </w:pPr>
      <w:r>
        <w:rPr>
          <w:b/>
        </w:rPr>
        <w:t xml:space="preserve">BIRINCHI MARTA ANIQLANGAN 1-TUR QANDLI DIABETLI BOLALARDA GAD65, INSULIN VA TIREOPEROKSIDAZAGA QARSHI AUTOANTITANALARNING ANIQLANISH CHASTOTASI: BIR MARKAZLI TADQIQOT</w:t>
      </w:r>
    </w:p>
    <w:p w14:paraId="66AC8A6E" w14:textId="77777777" w:rsidR="004E3FBE" w:rsidRDefault="004E3FBE" w:rsidP="004E3FBE">
      <w:pPr>
        <w:keepNext/>
        <w:spacing w:line="360" w:lineRule="auto"/>
        <w:jc w:val="center"/>
        <w:rPr>
          <w:szCs w:val="28"/>
        </w:rPr>
      </w:pPr>
    </w:p>
    <w:p>
      <w:pPr>
        <w:keepNext/>
        <w:spacing w:line="360" w:lineRule="auto"/>
        <w:jc w:val="center"/>
        <w:rPr>
          <w:b/>
        </w:rPr>
      </w:pPr>
      <w:r>
        <w:rPr>
          <w:b/>
        </w:rPr>
        <w:t xml:space="preserve">FREQUENCY OF AUTOANTIBODIES TO GAD65, INSULIN, AND THYROID PEROXIDASE IN CHILDREN WITH NEWLY DIAGNOSED TYPE 1 DIABETES MELLITUS: A SINGLE-CENTRE STUDY</w:t>
      </w:r>
    </w:p>
    <w:p w14:paraId="49101400" w14:textId="77777777" w:rsidR="004E3FBE" w:rsidRDefault="004E3FBE" w:rsidP="004E3FBE">
      <w:pPr>
        <w:keepNext/>
        <w:spacing w:line="360" w:lineRule="auto"/>
        <w:jc w:val="center"/>
        <w:rPr>
          <w:szCs w:val="28"/>
        </w:rPr>
      </w:pPr>
    </w:p>
    <w:p w14:paraId="0BB70E4C" w14:textId="77777777" w:rsidR="004E3FBE" w:rsidRPr="00BB228E" w:rsidRDefault="004E3FBE" w:rsidP="004E3FBE">
      <w:pPr>
        <w:keepNext/>
        <w:spacing w:line="360" w:lineRule="auto"/>
        <w:jc w:val="right"/>
        <w:rPr>
          <w:szCs w:val="28"/>
        </w:rPr>
      </w:pPr>
      <w:r>
        <w:rPr>
          <w:b/>
        </w:rPr>
        <w:t xml:space="preserve">АННОТАЦИЯ </w:t>
      </w:r>
    </w:p>
    <w:p>
      <w:pPr>
        <w:spacing w:line="360" w:lineRule="auto"/>
        <w:jc w:val="both"/>
        <w:rPr>
          <w:szCs w:val="28"/>
        </w:rPr>
      </w:pPr>
      <w:r>
        <w:rPr>
          <w:b/>
          <w:bCs/>
        </w:rPr>
        <w:t xml:space="preserve">Цель.</w:t>
      </w:r>
      <w:r>
        <w:t xml:space="preserve"> Оценить частоту выявления аутоантител к глутаматдекарбоксилазе (АТ-GAD), инсулину (АТ-IAA) и тиреоидной пероксидазе (АТ-ТПО) у детей с впервые выявленным СД 1 типа. </w:t>
      </w:r>
      <w:r>
        <w:rPr>
          <w:b/>
          <w:bCs/>
        </w:rPr>
        <w:t xml:space="preserve">Материал и методы.</w:t>
      </w:r>
      <w:r>
        <w:t xml:space="preserve"> В одноцентровое наблюдательное исследование включены 38 детей в возрасте от 5 до 16 лет, госпитализированных в специализированный эндокринологический центр Ташкента. Набор проводили в два периода: 2021-2022 и 2025-2026 годы. Антитела определяли иммуноферментным методом. Дополнительно исследовали ТТГ, 25(OH)D и HbA1c, при повышенном ТТГ свободный Т4. Для долей рассчитаны 95% доверительные интервалы методом Уилсона. </w:t>
      </w:r>
      <w:r>
        <w:rPr>
          <w:b/>
          <w:bCs/>
        </w:rPr>
        <w:t xml:space="preserve">Результаты.</w:t>
      </w:r>
      <w:r>
        <w:t xml:space="preserve"> АТ-GAD выявлены у 15 детей (39,5%), АТ-IAA у 5 (13,2%), не менее одного из двух антител у 17 (44,7%). АТ-ТПО выявлены у 6 детей (15,8%), повышение ТТГ также у 6 (15,8%). Повышенный ТТГ чаще отмечался при наличии АТ-ТПО: у 3 из 6 детей против 3 из 32 (p = 0,039). Манифестный гипотиреоз установлен у 2 пациентов, субклинический у 4. Дефицит витамина D выявлен у 9 детей (23,7%), средний HbA1c составил 10,2 ± 1,8%. </w:t>
      </w:r>
      <w:r>
        <w:rPr>
          <w:b/>
          <w:bCs/>
        </w:rPr>
        <w:t xml:space="preserve">Заключение.</w:t>
      </w:r>
      <w:r>
        <w:t xml:space="preserve"> Частота АТ-GAD и АТ-IAA оказалась ниже большинства опубликованных значений, что следует оценивать с учётом метода и неполной панели. Результаты АТ-IAA следует интерпретировать осторожно, так как время взятия крови относительно начала инсулинотерапии не фиксировали. Данные получены в одном центре. Тиреоидную функцию необходимо исследовать при установлении диагноза СД 1 типа.</w:t>
      </w:r>
    </w:p>
    <w:p w14:paraId="5291FC69" w14:textId="77777777" w:rsidR="004E3FBE" w:rsidRPr="00605426" w:rsidRDefault="004E3FBE" w:rsidP="004E3FBE">
      <w:pPr>
        <w:spacing w:line="360" w:lineRule="auto"/>
        <w:ind w:firstLine="567"/>
        <w:jc w:val="both"/>
        <w:rPr>
          <w:szCs w:val="28"/>
        </w:rPr>
      </w:pPr>
      <w:r>
        <w:rPr>
          <w:b/>
          <w:bCs/>
        </w:rPr>
        <w:t>Ключевые слова:</w:t>
      </w:r>
      <w:r>
        <w:t xml:space="preserve"> сахарный диабет 1 типа, дети, аутоантитела к GAD65, аутоантитела к инсулину, антитела к тиреопероксидазе, тиреотропный гормон.</w:t>
      </w:r>
    </w:p>
    <w:p w14:paraId="458D28F4" w14:textId="77777777" w:rsidR="004E3FBE" w:rsidRDefault="004E3FBE" w:rsidP="004E3FBE">
      <w:pPr>
        <w:keepNext/>
        <w:spacing w:line="360" w:lineRule="auto"/>
        <w:jc w:val="right"/>
        <w:rPr>
          <w:szCs w:val="28"/>
        </w:rPr>
      </w:pPr>
      <w:r>
        <w:rPr>
          <w:b/>
        </w:rPr>
        <w:lastRenderedPageBreak/>
        <w:t>ANNOTATSIYA</w:t>
      </w:r>
    </w:p>
    <w:p>
      <w:pPr>
        <w:spacing w:line="360" w:lineRule="auto"/>
        <w:jc w:val="both"/>
        <w:rPr>
          <w:szCs w:val="28"/>
        </w:rPr>
      </w:pPr>
      <w:r>
        <w:rPr>
          <w:b/>
          <w:bCs/>
        </w:rPr>
        <w:t xml:space="preserve">Maqsad.</w:t>
      </w:r>
      <w:r>
        <w:t xml:space="preserve"> Birinchi marta aniqlangan 1-tur qandli diabetli bolalarda GAD65, insulin va tireoperoksidazaga qarshi autoantitanalarning (mos ravishda AT-GAD, AT-IAA va AT-TPO) aniqlanish chastotasini baholash. </w:t>
      </w:r>
      <w:r>
        <w:rPr>
          <w:b/>
          <w:bCs/>
        </w:rPr>
        <w:t xml:space="preserve">Material va usullar.</w:t>
      </w:r>
      <w:r>
        <w:t xml:space="preserve"> Bir markazli kuzatuv tadqiqotiga 2021-2022 va 2025-2026-yillarda Toshkentdagi ixtisoslashtirilgan endokrinologiya markaziga yotqizilgan 5-16 yoshli 38 nafar bola kiritildi. Autoantitanalar immunoferment usulida aniqlandi. Qo‘shimcha ravishda TTG, 25(OH)D va HbA1c, TTG oshgan hollarda esa erkin T4 ham tekshirildi. Ulushlar uchun 95% ishonch oraliqlari Uilson usulida hisoblandi. </w:t>
      </w:r>
      <w:r>
        <w:rPr>
          <w:b/>
          <w:bCs/>
        </w:rPr>
        <w:t xml:space="preserve">Natijalar.</w:t>
      </w:r>
      <w:r>
        <w:t xml:space="preserve"> AT-GAD 15 nafar bolada (39,5%), AT-IAA 5 nafarida (13,2%), ikkita markerdan kamida bittasi 17 nafarida (44,7%) aniqlandi. AT-TPO 6 nafar bolada (15,8%), TTG oshishi ham 6 nafarida (15,8%) qayd etildi. TTG oshishi AT-TPO aniqlangan bolalarda ko‘proq kuzatildi: 6 nafardan 3 nafarida, AT-TPO aniqlanmaganlarda esa 32 nafardan 3 nafarida (p = 0,039). Manifest gipotireoz 2, subklinik gipotireoz 4 bemorda aniqlandi. D vitamini tanqisligi 9 nafar bolada (23,7%) kuzatildi, o‘rtacha HbA1c 10,2 ± 1,8% ni tashkil etdi. </w:t>
      </w:r>
      <w:r>
        <w:rPr>
          <w:b/>
          <w:bCs/>
        </w:rPr>
        <w:t xml:space="preserve">Xulosa.</w:t>
      </w:r>
      <w:r>
        <w:t xml:space="preserve"> AT-GAD va AT-IAA ko‘pchilik nashrlardagi ko‘rsatkichlarga nisbatan kamroq aniqlandi. Natijalarni baholashda tekshiruv usulini va markerlar paneli to‘liq emasligini hisobga olish kerak. Qon olish vaqti insulinoterapiya boshlanishiga nisbatan qayd etilmagani sababli AT-IAA natijalarini ehtiyotkorlik bilan talqin qilish lozim. Ma’lumotlar bitta markazda olingan. Tashxis qo‘yilganda tireoid holatni baholash zarur.</w:t>
      </w:r>
    </w:p>
    <w:p w14:paraId="7A53BF90" w14:textId="77777777" w:rsidR="004E3FBE" w:rsidRDefault="004E3FBE" w:rsidP="004E3FBE">
      <w:pPr>
        <w:spacing w:line="360" w:lineRule="auto"/>
        <w:ind w:firstLine="567"/>
        <w:jc w:val="both"/>
        <w:rPr>
          <w:szCs w:val="28"/>
        </w:rPr>
      </w:pPr>
      <w:r>
        <w:rPr>
          <w:b/>
          <w:bCs/>
        </w:rPr>
        <w:t>Kalit so‘zlar:</w:t>
      </w:r>
      <w:r>
        <w:t xml:space="preserve"> 1-tur qandli diabet, bolalar, GAD65 ga qarshi autoantitanalar, insulinga qarshi autoantitanalar, tireoperoksidazaga qarshi antitanalar, tireotrop gormon.</w:t>
      </w:r>
    </w:p>
    <w:p w14:paraId="79E8E860" w14:textId="77777777" w:rsidR="004E3FBE" w:rsidRDefault="004E3FBE" w:rsidP="004E3FBE">
      <w:pPr>
        <w:keepNext/>
        <w:spacing w:line="360" w:lineRule="auto"/>
        <w:jc w:val="right"/>
        <w:rPr>
          <w:szCs w:val="28"/>
        </w:rPr>
      </w:pPr>
      <w:r>
        <w:rPr>
          <w:b/>
        </w:rPr>
        <w:t>ANNOTATION</w:t>
      </w:r>
    </w:p>
    <w:p>
      <w:pPr>
        <w:spacing w:line="360" w:lineRule="auto"/>
        <w:jc w:val="both"/>
        <w:rPr>
          <w:szCs w:val="28"/>
        </w:rPr>
      </w:pPr>
      <w:r>
        <w:rPr>
          <w:b/>
          <w:bCs/>
        </w:rPr>
        <w:t xml:space="preserve">Objective.</w:t>
      </w:r>
      <w:r>
        <w:t xml:space="preserve"> To assess the frequency of autoantibodies to GAD65, insulin, and thyroid peroxidase in children with newly diagnosed type 1 diabetes. </w:t>
      </w:r>
      <w:r>
        <w:rPr>
          <w:b/>
          <w:bCs/>
        </w:rPr>
        <w:t xml:space="preserve">Materials and methods.</w:t>
      </w:r>
      <w:r>
        <w:t xml:space="preserve"> This single-centre observational study included 38 children aged 5-16 years treated at the Republican Specialized Scientific and Practical Medical Centre of Endocrinology (Tashkent). Patients were enrolled in two periods, 2021-2022 and 2025-2026. Autoantibodies were measured by enzyme-linked immunosorbent assay. TSH, 25(OH)D, and HbA1c were also assessed, and free T4 was measured when TSH was elevated. Proportions are given with Wilson 95% confidence intervals. </w:t>
      </w:r>
      <w:r>
        <w:rPr>
          <w:b/>
          <w:bCs/>
        </w:rPr>
        <w:t xml:space="preserve">Results.</w:t>
      </w:r>
      <w:r>
        <w:t xml:space="preserve"> GAD65 autoantibodies were found in 15 children (39.5%), insulin autoantibodies in 5 (13.2%), and at least one of the two markers in 17 (44.7%). Thyroid peroxidase antibodies were detected in 6 children (15.8%) and elevated TSH in 6 (15.8%). Elevated TSH was more common in children with thyroid peroxidase antibodies than in those without (3 of 6 vs 3 of 32; p = 0.039). Overt hypothyroidism was diagnosed in 2 patients and subclinical hypothyroidism in 4. Vitamin D deficiency was found in 9 children (23.7%), and mean HbA1c was 10.2 ± 1.8%. </w:t>
      </w:r>
      <w:r>
        <w:rPr>
          <w:b/>
          <w:bCs/>
        </w:rPr>
        <w:t xml:space="preserve">Conclusion.</w:t>
      </w:r>
      <w:r>
        <w:t xml:space="preserve"> The frequency of GAD65 and insulin autoantibodies was lower than in most published studies. Assay characteristics and the limited marker panel should be considered. Insulin autoantibody results should be interpreted with caution because the timing of blood sampling relative to insulin initiation was not recorded. The findings reflect a single centre. Thyroid status should be assessed at diagnosis.</w:t>
      </w:r>
    </w:p>
    <w:p w14:paraId="486AA98C" w14:textId="77777777" w:rsidR="004E3FBE" w:rsidRDefault="004E3FBE" w:rsidP="004E3FBE">
      <w:pPr>
        <w:spacing w:line="360" w:lineRule="auto"/>
        <w:ind w:firstLine="567"/>
        <w:jc w:val="both"/>
        <w:rPr>
          <w:szCs w:val="28"/>
        </w:rPr>
      </w:pPr>
      <w:r>
        <w:rPr>
          <w:b/>
          <w:bCs/>
        </w:rPr>
        <w:t>Keywords:</w:t>
      </w:r>
      <w:r>
        <w:t xml:space="preserve"> type 1 diabetes mellitus, children, GAD65 autoantibodies, insulin autoantibodies, thyroid peroxidase antibodies, thyroid-stimulating hormone.</w:t>
      </w:r>
    </w:p>
    <w:p w14:paraId="3EF7320E" w14:textId="77777777" w:rsidR="004E3FBE" w:rsidRDefault="004E3FBE" w:rsidP="004E3FBE">
      <w:pPr>
        <w:keepNext/>
        <w:spacing w:line="360" w:lineRule="auto"/>
        <w:jc w:val="both"/>
        <w:rPr>
          <w:b/>
          <w:bCs/>
          <w:szCs w:val="24"/>
        </w:rPr>
      </w:pPr>
    </w:p>
    <w:p>
      <w:pPr>
        <w:keepNext/>
        <w:spacing w:line="360" w:lineRule="auto"/>
        <w:jc w:val="both"/>
        <w:rPr>
          <w:szCs w:val="28"/>
        </w:rPr>
      </w:pPr>
      <w:r>
        <w:rPr>
          <w:b/>
          <w:bCs/>
        </w:rPr>
        <w:t xml:space="preserve">Введение</w:t>
      </w:r>
      <w:r>
        <w:t xml:space="preserve">. Сахарный диабет 1 типа (СД 1 типа) развивается вследствие аутоиммунного разрушения β-клеток. Серологическими маркёрами заболевания служат аутоантитела к инсулину (IAA), глутаматдекарбоксилазе (GAD65), тирозинфосфатазе IA-2 и транспортёру цинка ZnT8 [7, 28]. При манифестации заболевания хотя бы один маркёр определяется у 85-90% пациентов, однако частота зависит от возраста, состава панели и метода анализа [8, 10]. IAA чаще выявляются у детей младшего возраста, и диагностическая ценность отдельных антител меняется с возрастом [7, 13, 20].</w:t>
      </w:r>
    </w:p>
    <w:p>
      <w:pPr>
        <w:spacing w:line="360" w:lineRule="auto"/>
        <w:jc w:val="both"/>
        <w:rPr>
          <w:szCs w:val="28"/>
        </w:rPr>
      </w:pPr>
      <w:r>
        <w:t xml:space="preserve">Два и более островковых аутоантитела при нормальной гликемии соответствуют первой стадии СД 1 типа. В течение 10 лет клинический диабет развивается почти у 70% таких детей [31]. На этом основана классификация стадий заболевания, принятая ISPAD и ADA [5, 6, 16]. При манифестации определение аутоантител подтверждает аутоиммунный характер диабета. При отсутствии антител следует исключать моногенный диабет, на долю которого приходится около 2,5% случаев диабета у детей [22, 26].</w:t>
      </w:r>
    </w:p>
    <w:p>
      <w:pPr>
        <w:spacing w:line="360" w:lineRule="auto"/>
        <w:jc w:val="both"/>
        <w:rPr>
          <w:szCs w:val="28"/>
        </w:rPr>
      </w:pPr>
      <w:r>
        <w:t xml:space="preserve">СД 1 типа часто сочетается с аутоиммунным поражением щитовидной железы, которое у детей встречается чаще других сопутствующих аутоиммунных заболеваний [19]. По данным метаанализа, гипотиреоз выявляют у 9,8% пациентов с СД 1 типа, причём с возрастом его частота растёт [25]. В регистре T1D Exchange заболевания щитовидной железы диагностированы у 24% детей и взрослых с СД 1 типа [15]. Уже при манифестации диабета тиреоидные аутоантитела обнаруживают у 12-34% детей [17, 30], а АТ-ТПО и уровень ТТГ в этот момент позволяют прогнозировать последующую потребность в левотироксине [18]. ISPAD рекомендует определять ТТГ и тиреоидные аутоантитела при установлении диагноза и контролировать их в дальнейшем [12].</w:t>
      </w:r>
    </w:p>
    <w:p>
      <w:pPr>
        <w:spacing w:line="360" w:lineRule="auto"/>
        <w:jc w:val="both"/>
        <w:rPr>
          <w:szCs w:val="28"/>
        </w:rPr>
      </w:pPr>
      <w:r>
        <w:t xml:space="preserve">По национальным данным за 2024 год распространённость СД 1 типа у детей составила 30,8, а заболеваемость 6,3 на 100 000; в Ташкенте эти показатели достигли 69,5 и 16,4 на 100 000 соответственно [4].</w:t>
      </w:r>
    </w:p>
    <w:p>
      <w:pPr>
        <w:spacing w:line="360" w:lineRule="auto"/>
        <w:jc w:val="both"/>
        <w:rPr>
          <w:szCs w:val="28"/>
        </w:rPr>
      </w:pPr>
      <w:r>
        <w:t xml:space="preserve">Данные об одновременном выявлении островковых и тиреоидных аутоантител у детей Узбекистана ограничены, что определило цель исследования.</w:t>
      </w:r>
    </w:p>
    <w:p>
      <w:pPr>
        <w:keepNext/>
        <w:spacing w:line="360" w:lineRule="auto"/>
        <w:jc w:val="both"/>
        <w:rPr>
          <w:szCs w:val="28"/>
        </w:rPr>
      </w:pPr>
      <w:r>
        <w:rPr>
          <w:b/>
          <w:bCs/>
        </w:rPr>
        <w:t xml:space="preserve">Цель исследования</w:t>
      </w:r>
      <w:r>
        <w:t xml:space="preserve">. Оценить частоту выявления аутоантител к глутаматдекарбоксилазе и инсулину у детей с впервые выявленным сахарным диабетом 1 типа, госпитализированных в специализированный эндокринологический центр, и определить частоту маркёров тиреоидного аутоиммунитета и нарушений функции щитовидной железы в этой же группе.</w:t>
      </w:r>
    </w:p>
    <w:p>
      <w:pPr>
        <w:keepNext/>
        <w:spacing w:line="360" w:lineRule="auto"/>
        <w:jc w:val="both"/>
        <w:rPr>
          <w:szCs w:val="28"/>
        </w:rPr>
      </w:pPr>
      <w:r>
        <w:rPr>
          <w:b/>
          <w:bCs/>
        </w:rPr>
        <w:t xml:space="preserve">Материал и методы</w:t>
      </w:r>
      <w:r>
        <w:t xml:space="preserve">. В одноцентровое наблюдательное исследование включены 38 детей с впервые установленным СД 1 типа, лечившихся в детском эндокринологическом отделении Республиканского специализированного научно-практического медицинского центра эндокринологии имени академика Ё.Х. Туракулова (РСНПМЦЭ, Ташкент). Набор проводили в два периода: в 2021-2022 и 2025-2026 годах. В группе было 20 девочек и 18 мальчиков 5-16 лет, средний возраст 11,2 ± 3,5 года. Контрольной группы не было.</w:t>
      </w:r>
    </w:p>
    <w:p>
      <w:pPr>
        <w:spacing w:line="360" w:lineRule="auto"/>
        <w:jc w:val="both"/>
        <w:rPr>
          <w:szCs w:val="28"/>
        </w:rPr>
      </w:pPr>
      <w:r>
        <w:t xml:space="preserve">Сахарный диабет диагностировали по критериям ISPAD 2022 [22]: глюкоза плазмы натощак 7,0 ммоль/л и выше, случайное значение глюкозы 11,1 ммоль/л и выше при классических симптомах или HbA1c 6,5% и выше. Тип диабета определяли по клинической картине: острое начало с полиурией, полидипсией и снижением массы тела, а также потребность в инсулине с момента диагностики. Наличие островковых аутоантител не было обязательным условием включения. Впервые выявленным считали СД 1 типа, диагностированный во время данной госпитализации.</w:t>
      </w:r>
    </w:p>
    <w:p>
      <w:pPr>
        <w:spacing w:line="360" w:lineRule="auto"/>
        <w:jc w:val="both"/>
        <w:rPr>
          <w:szCs w:val="28"/>
        </w:rPr>
      </w:pPr>
      <w:r>
        <w:t xml:space="preserve">Критерии включения: возраст до 18 лет, впервые установленный СД 1 типа, письменное информированное согласие родителей или законных представителей. Критерии исключения: СД 2 типа, клинически заподозренный моногенный диабет, вторичный диабет, заболевания щитовидной железы, диагностированные до госпитализации, а также приём левотироксина, тиреостатиков или глюкокортикоидов.</w:t>
      </w:r>
    </w:p>
    <w:p>
      <w:pPr>
        <w:spacing w:line="360" w:lineRule="auto"/>
        <w:jc w:val="both"/>
        <w:rPr>
          <w:szCs w:val="28"/>
        </w:rPr>
      </w:pPr>
      <w:r>
        <w:t xml:space="preserve">Кровь для всех исследований брали однократно в период госпитализации. Время взятия крови относительно первой инъекции инсулина в протоколе не фиксировали.</w:t>
      </w:r>
    </w:p>
    <w:p>
      <w:pPr>
        <w:spacing w:line="360" w:lineRule="auto"/>
        <w:ind w:firstLine="720"/>
        <w:jc w:val="both"/>
        <w:rPr>
          <w:szCs w:val="28"/>
        </w:rPr>
      </w:pPr>
      <w:r>
        <w:t xml:space="preserve">АТ-GAD, АТ-IAA и АТ-ТПО определяли иммуноферментным методом с помощью наборов Biomerica, Inc. Положительными считали значения выше 10,0 Ед/мл для АТ-IAA, 17 МЕ/мл для АТ-GAD и 34 МЕ/мл для АТ-ТПО согласно инструкциям производителя.</w:t>
      </w:r>
    </w:p>
    <w:p>
      <w:pPr>
        <w:spacing w:line="360" w:lineRule="auto"/>
        <w:jc w:val="both"/>
        <w:rPr>
          <w:szCs w:val="28"/>
        </w:rPr>
      </w:pPr>
      <w:r>
        <w:t xml:space="preserve">У всех пациентов определяли ТТГ, 25(OH)D и HbA1c; свободный Т4 исследовали только при повышенном ТТГ. Результаты оценивали по педиатрическим референсным интервалам лаборатории: ТТГ 0,7-5,7 мМЕ/л, свободный Т4 10-22 пмоль/л. Субклиническим гипотиреозом считали повышение ТТГ при нормальном свободном Т4, манифестным — повышение ТТГ при свободном Т4 ниже референсного интервала. Дефицитом витамина D считали концентрацию 25(OH)D ниже 20 нг/мл (50 нмоль/л) [14]. Положительный результат по АТ-ТПО обозначали как тиреоидный аутоиммунитет. Аутоиммунный тиреоидит не диагностировали, поскольку антитела к тиреоглобулину и УЗИ щитовидной железы не входили в протокол.</w:t>
      </w:r>
    </w:p>
    <w:p>
      <w:pPr>
        <w:spacing w:line="360" w:lineRule="auto"/>
        <w:jc w:val="both"/>
        <w:rPr>
          <w:szCs w:val="28"/>
        </w:rPr>
      </w:pPr>
      <w:r>
        <w:t xml:space="preserve">Статистический анализ. Данные представлены как M ± SD или число и доля. Для долей рассчитаны 95% ДИ методом Уилсона, частоты сравнивали двусторонним точным критерием Фишера. Различия считали значимыми при p &lt; 0,05.</w:t>
      </w:r>
    </w:p>
    <w:p>
      <w:pPr>
        <w:spacing w:line="360" w:lineRule="auto"/>
        <w:jc w:val="both"/>
        <w:rPr>
          <w:szCs w:val="28"/>
        </w:rPr>
      </w:pPr>
      <w:r>
        <w:t xml:space="preserve">Исследование проведено в соответствии с Хельсинкской декларацией и одобрено локальным этическим комитетом РСНПМЦЭ (протокол № 12 от 15.01.2021). Родители или законные представители всех детей подписали информированное согласие на участие в исследовании.</w:t>
      </w:r>
    </w:p>
    <w:p>
      <w:pPr>
        <w:keepNext/>
        <w:spacing w:line="360" w:lineRule="auto"/>
        <w:jc w:val="both"/>
        <w:rPr>
          <w:szCs w:val="28"/>
        </w:rPr>
      </w:pPr>
      <w:r>
        <w:rPr>
          <w:b/>
          <w:bCs/>
        </w:rPr>
        <w:t xml:space="preserve">Результаты</w:t>
      </w:r>
      <w:r>
        <w:t xml:space="preserve">. АТ-GAD выявлены у 15 из 38 пациентов (39,5%; 95% ДИ 25,6-55,3), АТ-IAA у 5 (13,2%; 95% ДИ 5,8-27,3), оба антитела у 3 (7,9%; 95% ДИ 2,7-20,8). Не менее одного из двух маркёров обнаружено у 17 детей (44,7%; 95% ДИ 30,1-60,3): только АТ-GAD у 12, только АТ-IAA у 2, оба у 3. У 21 ребёнка оба результата были отрицательными (55,3%; 95% ДИ 39,7-69,9). Сводные результаты приведены в табл. 1.</w:t>
      </w:r>
    </w:p>
    <w:p>
      <w:pPr>
        <w:spacing w:line="360" w:lineRule="auto"/>
        <w:ind w:firstLine="720"/>
        <w:jc w:val="both"/>
        <w:rPr>
          <w:szCs w:val="28"/>
        </w:rPr>
      </w:pPr>
      <w:r>
        <w:t xml:space="preserve">АТ-ТПО выявлены у 6 пациентов (15,8%; 95% ДИ 7,4-30,4). Повышение ТТГ зарегистрировано у 6 детей (15,8%; 95% ДИ 7,4-30,4), включая 4 случая субклинического и 2 манифестного гипотиреоза. Повышенный ТТГ выявлен у 3 из 6 детей с АТ-ТПО: субклинический гипотиреоз у 2, манифестный у 1. У 3 детей ТТГ был повышен при отрицательных АТ-ТПО: субклинический гипотиреоз у 2, манифестный у 1 (табл. 2). Повышенный ТТГ у детей с АТ-ТПО встречался чаще, чем у детей без них: 50,0% против 9,4% (p = 0,039).</w:t>
      </w:r>
    </w:p>
    <w:p>
      <w:pPr>
        <w:spacing w:line="360" w:lineRule="auto"/>
        <w:jc w:val="both"/>
      </w:pPr>
      <w:r>
        <w:t xml:space="preserve">Дефицит витамина D выявлен у 9 детей (23,7%; 95% ДИ 13,0-39,2), средний HbA1c составил 10,2 ± 1,8% (88 ± 20 ммоль/моль). Различия по полу не были статистически значимыми. АТ-GAD выявлены у 8 из 20 девочек (40,0%) и у 7 из 18 мальчиков (38,9%; p = 1,000), АТ-IAA у 3 (15,0%) и 2 (11,1%; p = 1,000), АТ-ТПО у 4 (20,0%) и 2 (11,1%; p = 0,663).</w:t>
      </w:r>
    </w:p>
    <w:p w14:paraId="7987196B" w14:textId="77777777" w:rsidR="004E3FBE" w:rsidRPr="00605426" w:rsidRDefault="004E3FBE" w:rsidP="004E3FBE">
      <w:pPr>
        <w:jc w:val="both"/>
        <w:rPr>
          <w:szCs w:val="28"/>
        </w:rPr>
      </w:pPr>
    </w:p>
    <w:p w14:paraId="4EE71C20" w14:textId="77777777" w:rsidR="004E3FBE" w:rsidRPr="00605426" w:rsidRDefault="004E3FBE" w:rsidP="004E3FBE">
      <w:pPr>
        <w:keepNext/>
        <w:spacing w:line="360" w:lineRule="auto"/>
        <w:rPr>
          <w:szCs w:val="28"/>
        </w:rPr>
      </w:pPr>
      <w:r>
        <w:lastRenderedPageBreak/>
        <w:t>Таблица 1. Частота выявления островковых и тиреоидных аутоантител и лабораторных отклонений у детей с впервые выявленным СД 1 типа (n = 38)</w:t>
      </w:r>
    </w:p>
    <w:tbl>
      <w:tblPr>
        <w:tblW w:w="95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01"/>
        <w:gridCol w:w="1407"/>
        <w:gridCol w:w="1407"/>
        <w:gridCol w:w="2251"/>
      </w:tblGrid>
      <w:tr w:rsidR="004E3FBE" w:rsidRPr="00605426" w14:paraId="1390CC66" w14:textId="77777777" w:rsidTr="009B63E4">
        <w:trPr>
          <w:trHeight w:val="310"/>
          <w:tblHeader/>
          <w:jc w:val="center"/>
        </w:trPr>
        <w:tc>
          <w:tcPr>
            <w:tcW w:w="4535" w:type="dxa"/>
            <w:shd w:val="clear" w:color="auto" w:fill="E7E6E6"/>
            <w:tcMar>
              <w:top w:w="60" w:type="dxa"/>
              <w:left w:w="100" w:type="dxa"/>
              <w:bottom w:w="60" w:type="dxa"/>
              <w:right w:w="100" w:type="dxa"/>
            </w:tcMar>
            <w:vAlign w:val="center"/>
          </w:tcPr>
          <w:p w14:paraId="132ED404" w14:textId="77777777" w:rsidR="004E3FBE" w:rsidRPr="00605426" w:rsidRDefault="004E3FBE" w:rsidP="009B63E4">
            <w:pPr>
              <w:spacing w:line="360" w:lineRule="auto"/>
              <w:jc w:val="center"/>
              <w:rPr>
                <w:szCs w:val="28"/>
              </w:rPr>
            </w:pPr>
            <w:r>
              <w:rPr>
                <w:b/>
              </w:rPr>
              <w:t>Показатель</w:t>
            </w:r>
          </w:p>
        </w:tc>
        <w:tc>
          <w:tcPr>
            <w:tcW w:w="1417" w:type="dxa"/>
            <w:shd w:val="clear" w:color="auto" w:fill="E7E6E6"/>
            <w:tcMar>
              <w:top w:w="60" w:type="dxa"/>
              <w:left w:w="100" w:type="dxa"/>
              <w:bottom w:w="60" w:type="dxa"/>
              <w:right w:w="100" w:type="dxa"/>
            </w:tcMar>
            <w:vAlign w:val="center"/>
          </w:tcPr>
          <w:p w14:paraId="06884F82" w14:textId="77777777" w:rsidR="004E3FBE" w:rsidRPr="00605426" w:rsidRDefault="004E3FBE" w:rsidP="009B63E4">
            <w:pPr>
              <w:spacing w:line="360" w:lineRule="auto"/>
              <w:jc w:val="center"/>
              <w:rPr>
                <w:szCs w:val="28"/>
              </w:rPr>
            </w:pPr>
            <w:r>
              <w:rPr>
                <w:b/>
              </w:rPr>
              <w:t>n</w:t>
            </w:r>
          </w:p>
        </w:tc>
        <w:tc>
          <w:tcPr>
            <w:tcW w:w="1417" w:type="dxa"/>
            <w:shd w:val="clear" w:color="auto" w:fill="E7E6E6"/>
            <w:tcMar>
              <w:top w:w="60" w:type="dxa"/>
              <w:left w:w="100" w:type="dxa"/>
              <w:bottom w:w="60" w:type="dxa"/>
              <w:right w:w="100" w:type="dxa"/>
            </w:tcMar>
            <w:vAlign w:val="center"/>
          </w:tcPr>
          <w:p w14:paraId="365EEE97" w14:textId="77777777" w:rsidR="004E3FBE" w:rsidRPr="00605426" w:rsidRDefault="004E3FBE" w:rsidP="009B63E4">
            <w:pPr>
              <w:spacing w:line="360" w:lineRule="auto"/>
              <w:jc w:val="center"/>
              <w:rPr>
                <w:szCs w:val="28"/>
              </w:rPr>
            </w:pPr>
            <w:r>
              <w:rPr>
                <w:b/>
              </w:rPr>
              <w:t>%</w:t>
            </w:r>
          </w:p>
        </w:tc>
        <w:tc>
          <w:tcPr>
            <w:tcW w:w="2268" w:type="dxa"/>
            <w:shd w:val="clear" w:color="auto" w:fill="E7E6E6"/>
            <w:tcMar>
              <w:top w:w="60" w:type="dxa"/>
              <w:left w:w="100" w:type="dxa"/>
              <w:bottom w:w="60" w:type="dxa"/>
              <w:right w:w="100" w:type="dxa"/>
            </w:tcMar>
            <w:vAlign w:val="center"/>
          </w:tcPr>
          <w:p w14:paraId="72F3F1D1" w14:textId="77777777" w:rsidR="004E3FBE" w:rsidRPr="00605426" w:rsidRDefault="004E3FBE" w:rsidP="009B63E4">
            <w:pPr>
              <w:spacing w:line="360" w:lineRule="auto"/>
              <w:jc w:val="center"/>
              <w:rPr>
                <w:szCs w:val="28"/>
              </w:rPr>
            </w:pPr>
            <w:r>
              <w:rPr>
                <w:b/>
              </w:rPr>
              <w:t>95% ДИ, %</w:t>
            </w:r>
          </w:p>
        </w:tc>
      </w:tr>
      <w:tr w:rsidR="004E3FBE" w:rsidRPr="00605426" w14:paraId="152D91FE" w14:textId="77777777" w:rsidTr="009B63E4">
        <w:trPr>
          <w:trHeight w:val="310"/>
          <w:jc w:val="center"/>
        </w:trPr>
        <w:tc>
          <w:tcPr>
            <w:tcW w:w="2268" w:type="dxa"/>
            <w:gridSpan w:val="4"/>
            <w:shd w:val="clear" w:color="auto" w:fill="E7E6E6"/>
            <w:tcMar>
              <w:top w:w="60" w:type="dxa"/>
              <w:left w:w="100" w:type="dxa"/>
              <w:bottom w:w="60" w:type="dxa"/>
              <w:right w:w="100" w:type="dxa"/>
            </w:tcMar>
            <w:vAlign w:val="center"/>
          </w:tcPr>
          <w:p w14:paraId="34FE2711" w14:textId="77777777" w:rsidR="004E3FBE" w:rsidRPr="00605426" w:rsidRDefault="004E3FBE" w:rsidP="009B63E4">
            <w:pPr>
              <w:spacing w:line="360" w:lineRule="auto"/>
              <w:rPr>
                <w:szCs w:val="28"/>
              </w:rPr>
            </w:pPr>
            <w:r>
              <w:rPr>
                <w:b/>
              </w:rPr>
              <w:t>Общая частота выявления островковых аутоантител</w:t>
            </w:r>
          </w:p>
        </w:tc>
      </w:tr>
      <w:tr w:rsidR="004E3FBE" w:rsidRPr="00605426" w14:paraId="30F66B5D" w14:textId="77777777" w:rsidTr="009B63E4">
        <w:trPr>
          <w:trHeight w:val="297"/>
          <w:jc w:val="center"/>
        </w:trPr>
        <w:tc>
          <w:tcPr>
            <w:tcW w:w="4535" w:type="dxa"/>
            <w:tcMar>
              <w:top w:w="60" w:type="dxa"/>
              <w:left w:w="100" w:type="dxa"/>
              <w:bottom w:w="60" w:type="dxa"/>
              <w:right w:w="100" w:type="dxa"/>
            </w:tcMar>
            <w:vAlign w:val="center"/>
          </w:tcPr>
          <w:p w14:paraId="10467672" w14:textId="77777777" w:rsidR="004E3FBE" w:rsidRPr="00605426" w:rsidRDefault="004E3FBE" w:rsidP="009B63E4">
            <w:pPr>
              <w:spacing w:line="360" w:lineRule="auto"/>
              <w:rPr>
                <w:szCs w:val="28"/>
              </w:rPr>
            </w:pPr>
            <w:r>
              <w:t>Выявлены АТ-GAD</w:t>
            </w:r>
          </w:p>
        </w:tc>
        <w:tc>
          <w:tcPr>
            <w:tcW w:w="1417" w:type="dxa"/>
            <w:tcMar>
              <w:top w:w="60" w:type="dxa"/>
              <w:left w:w="100" w:type="dxa"/>
              <w:bottom w:w="60" w:type="dxa"/>
              <w:right w:w="100" w:type="dxa"/>
            </w:tcMar>
            <w:vAlign w:val="center"/>
          </w:tcPr>
          <w:p w14:paraId="7A3ABD97" w14:textId="77777777" w:rsidR="004E3FBE" w:rsidRPr="00605426" w:rsidRDefault="004E3FBE" w:rsidP="009B63E4">
            <w:pPr>
              <w:spacing w:line="360" w:lineRule="auto"/>
              <w:jc w:val="center"/>
              <w:rPr>
                <w:szCs w:val="28"/>
              </w:rPr>
            </w:pPr>
            <w:r>
              <w:t>15</w:t>
            </w:r>
          </w:p>
        </w:tc>
        <w:tc>
          <w:tcPr>
            <w:tcW w:w="1417" w:type="dxa"/>
            <w:tcMar>
              <w:top w:w="60" w:type="dxa"/>
              <w:left w:w="100" w:type="dxa"/>
              <w:bottom w:w="60" w:type="dxa"/>
              <w:right w:w="100" w:type="dxa"/>
            </w:tcMar>
            <w:vAlign w:val="center"/>
          </w:tcPr>
          <w:p w14:paraId="3A884351" w14:textId="77777777" w:rsidR="004E3FBE" w:rsidRPr="00605426" w:rsidRDefault="004E3FBE" w:rsidP="009B63E4">
            <w:pPr>
              <w:spacing w:line="360" w:lineRule="auto"/>
              <w:jc w:val="center"/>
              <w:rPr>
                <w:szCs w:val="28"/>
              </w:rPr>
            </w:pPr>
            <w:r>
              <w:t>39,5</w:t>
            </w:r>
          </w:p>
        </w:tc>
        <w:tc>
          <w:tcPr>
            <w:tcW w:w="2268" w:type="dxa"/>
            <w:tcMar>
              <w:top w:w="60" w:type="dxa"/>
              <w:left w:w="100" w:type="dxa"/>
              <w:bottom w:w="60" w:type="dxa"/>
              <w:right w:w="100" w:type="dxa"/>
            </w:tcMar>
            <w:vAlign w:val="center"/>
          </w:tcPr>
          <w:p w14:paraId="188B3ED7" w14:textId="77777777" w:rsidR="004E3FBE" w:rsidRPr="00605426" w:rsidRDefault="004E3FBE" w:rsidP="009B63E4">
            <w:pPr>
              <w:spacing w:line="360" w:lineRule="auto"/>
              <w:jc w:val="center"/>
              <w:rPr>
                <w:szCs w:val="28"/>
              </w:rPr>
            </w:pPr>
            <w:r>
              <w:t>25,6-55,3</w:t>
            </w:r>
          </w:p>
        </w:tc>
      </w:tr>
      <w:tr w:rsidR="004E3FBE" w:rsidRPr="00605426" w14:paraId="1897AA7F" w14:textId="77777777" w:rsidTr="009B63E4">
        <w:trPr>
          <w:trHeight w:val="310"/>
          <w:jc w:val="center"/>
        </w:trPr>
        <w:tc>
          <w:tcPr>
            <w:tcW w:w="4535" w:type="dxa"/>
            <w:tcMar>
              <w:top w:w="60" w:type="dxa"/>
              <w:left w:w="100" w:type="dxa"/>
              <w:bottom w:w="60" w:type="dxa"/>
              <w:right w:w="100" w:type="dxa"/>
            </w:tcMar>
            <w:vAlign w:val="center"/>
          </w:tcPr>
          <w:p w14:paraId="78819D88" w14:textId="77777777" w:rsidR="004E3FBE" w:rsidRPr="00605426" w:rsidRDefault="004E3FBE" w:rsidP="009B63E4">
            <w:pPr>
              <w:spacing w:line="360" w:lineRule="auto"/>
              <w:rPr>
                <w:szCs w:val="28"/>
              </w:rPr>
            </w:pPr>
            <w:r>
              <w:t>Выявлены АТ-IAA</w:t>
            </w:r>
          </w:p>
        </w:tc>
        <w:tc>
          <w:tcPr>
            <w:tcW w:w="1417" w:type="dxa"/>
            <w:tcMar>
              <w:top w:w="60" w:type="dxa"/>
              <w:left w:w="100" w:type="dxa"/>
              <w:bottom w:w="60" w:type="dxa"/>
              <w:right w:w="100" w:type="dxa"/>
            </w:tcMar>
            <w:vAlign w:val="center"/>
          </w:tcPr>
          <w:p w14:paraId="1F8566F0" w14:textId="77777777" w:rsidR="004E3FBE" w:rsidRPr="00605426" w:rsidRDefault="004E3FBE" w:rsidP="009B63E4">
            <w:pPr>
              <w:spacing w:line="360" w:lineRule="auto"/>
              <w:jc w:val="center"/>
              <w:rPr>
                <w:szCs w:val="28"/>
              </w:rPr>
            </w:pPr>
            <w:r>
              <w:t>5</w:t>
            </w:r>
          </w:p>
        </w:tc>
        <w:tc>
          <w:tcPr>
            <w:tcW w:w="1417" w:type="dxa"/>
            <w:tcMar>
              <w:top w:w="60" w:type="dxa"/>
              <w:left w:w="100" w:type="dxa"/>
              <w:bottom w:w="60" w:type="dxa"/>
              <w:right w:w="100" w:type="dxa"/>
            </w:tcMar>
            <w:vAlign w:val="center"/>
          </w:tcPr>
          <w:p w14:paraId="5BCADAD4" w14:textId="77777777" w:rsidR="004E3FBE" w:rsidRPr="00605426" w:rsidRDefault="004E3FBE" w:rsidP="009B63E4">
            <w:pPr>
              <w:spacing w:line="360" w:lineRule="auto"/>
              <w:jc w:val="center"/>
              <w:rPr>
                <w:szCs w:val="28"/>
              </w:rPr>
            </w:pPr>
            <w:r>
              <w:t>13,2</w:t>
            </w:r>
          </w:p>
        </w:tc>
        <w:tc>
          <w:tcPr>
            <w:tcW w:w="2268" w:type="dxa"/>
            <w:tcMar>
              <w:top w:w="60" w:type="dxa"/>
              <w:left w:w="100" w:type="dxa"/>
              <w:bottom w:w="60" w:type="dxa"/>
              <w:right w:w="100" w:type="dxa"/>
            </w:tcMar>
            <w:vAlign w:val="center"/>
          </w:tcPr>
          <w:p w14:paraId="1039E876" w14:textId="77777777" w:rsidR="004E3FBE" w:rsidRPr="00605426" w:rsidRDefault="004E3FBE" w:rsidP="009B63E4">
            <w:pPr>
              <w:spacing w:line="360" w:lineRule="auto"/>
              <w:jc w:val="center"/>
              <w:rPr>
                <w:szCs w:val="28"/>
              </w:rPr>
            </w:pPr>
            <w:r>
              <w:t>5,8-27,3</w:t>
            </w:r>
          </w:p>
        </w:tc>
      </w:tr>
      <w:tr w:rsidR="004E3FBE" w:rsidRPr="00605426" w14:paraId="3379CE4A" w14:textId="77777777" w:rsidTr="009B63E4">
        <w:trPr>
          <w:trHeight w:val="310"/>
          <w:jc w:val="center"/>
        </w:trPr>
        <w:tc>
          <w:tcPr>
            <w:tcW w:w="4535" w:type="dxa"/>
            <w:tcMar>
              <w:top w:w="60" w:type="dxa"/>
              <w:left w:w="100" w:type="dxa"/>
              <w:bottom w:w="60" w:type="dxa"/>
              <w:right w:w="100" w:type="dxa"/>
            </w:tcMar>
            <w:vAlign w:val="center"/>
          </w:tcPr>
          <w:p w14:paraId="0D748363" w14:textId="77777777" w:rsidR="004E3FBE" w:rsidRPr="001B3345" w:rsidRDefault="004E3FBE" w:rsidP="009B63E4">
            <w:pPr>
              <w:spacing w:line="360" w:lineRule="auto"/>
              <w:rPr>
                <w:szCs w:val="28"/>
              </w:rPr>
            </w:pPr>
            <w:r>
              <w:t>Выявлено не менее одного из двух антител</w:t>
            </w:r>
          </w:p>
        </w:tc>
        <w:tc>
          <w:tcPr>
            <w:tcW w:w="1417" w:type="dxa"/>
            <w:tcMar>
              <w:top w:w="60" w:type="dxa"/>
              <w:left w:w="100" w:type="dxa"/>
              <w:bottom w:w="60" w:type="dxa"/>
              <w:right w:w="100" w:type="dxa"/>
            </w:tcMar>
            <w:vAlign w:val="center"/>
          </w:tcPr>
          <w:p w14:paraId="49E117C0" w14:textId="77777777" w:rsidR="004E3FBE" w:rsidRPr="001B3345" w:rsidRDefault="004E3FBE" w:rsidP="009B63E4">
            <w:pPr>
              <w:spacing w:line="360" w:lineRule="auto"/>
              <w:jc w:val="center"/>
              <w:rPr>
                <w:szCs w:val="28"/>
              </w:rPr>
            </w:pPr>
            <w:r>
              <w:t>17</w:t>
            </w:r>
          </w:p>
        </w:tc>
        <w:tc>
          <w:tcPr>
            <w:tcW w:w="1417" w:type="dxa"/>
            <w:tcMar>
              <w:top w:w="60" w:type="dxa"/>
              <w:left w:w="100" w:type="dxa"/>
              <w:bottom w:w="60" w:type="dxa"/>
              <w:right w:w="100" w:type="dxa"/>
            </w:tcMar>
            <w:vAlign w:val="center"/>
          </w:tcPr>
          <w:p w14:paraId="5B58EFB9" w14:textId="77777777" w:rsidR="004E3FBE" w:rsidRPr="001B3345" w:rsidRDefault="004E3FBE" w:rsidP="009B63E4">
            <w:pPr>
              <w:spacing w:line="360" w:lineRule="auto"/>
              <w:jc w:val="center"/>
              <w:rPr>
                <w:szCs w:val="28"/>
              </w:rPr>
            </w:pPr>
            <w:r>
              <w:t>44,7</w:t>
            </w:r>
          </w:p>
        </w:tc>
        <w:tc>
          <w:tcPr>
            <w:tcW w:w="2268" w:type="dxa"/>
            <w:tcMar>
              <w:top w:w="60" w:type="dxa"/>
              <w:left w:w="100" w:type="dxa"/>
              <w:bottom w:w="60" w:type="dxa"/>
              <w:right w:w="100" w:type="dxa"/>
            </w:tcMar>
            <w:vAlign w:val="center"/>
          </w:tcPr>
          <w:p w14:paraId="7DF17747" w14:textId="77777777" w:rsidR="004E3FBE" w:rsidRPr="001B3345" w:rsidRDefault="004E3FBE" w:rsidP="009B63E4">
            <w:pPr>
              <w:spacing w:line="360" w:lineRule="auto"/>
              <w:jc w:val="center"/>
              <w:rPr>
                <w:szCs w:val="28"/>
              </w:rPr>
            </w:pPr>
            <w:r>
              <w:t>30,1-60,3</w:t>
            </w:r>
          </w:p>
        </w:tc>
      </w:tr>
      <w:tr w:rsidR="004E3FBE" w:rsidRPr="00605426" w14:paraId="0611A87A" w14:textId="77777777" w:rsidTr="009B63E4">
        <w:trPr>
          <w:trHeight w:val="310"/>
          <w:jc w:val="center"/>
        </w:trPr>
        <w:tc>
          <w:tcPr>
            <w:tcW w:w="2268" w:type="dxa"/>
            <w:gridSpan w:val="4"/>
            <w:shd w:val="clear" w:color="auto" w:fill="E7E6E6"/>
            <w:tcMar>
              <w:top w:w="60" w:type="dxa"/>
              <w:left w:w="100" w:type="dxa"/>
              <w:bottom w:w="60" w:type="dxa"/>
              <w:right w:w="100" w:type="dxa"/>
            </w:tcMar>
            <w:vAlign w:val="center"/>
          </w:tcPr>
          <w:p w14:paraId="62EBAB25" w14:textId="77777777" w:rsidR="004E3FBE" w:rsidRPr="001B3345" w:rsidRDefault="004E3FBE" w:rsidP="009B63E4">
            <w:pPr>
              <w:spacing w:line="360" w:lineRule="auto"/>
              <w:rPr>
                <w:szCs w:val="28"/>
              </w:rPr>
            </w:pPr>
            <w:r>
              <w:rPr>
                <w:b/>
              </w:rPr>
              <w:t>Взаимоисключающие варианты результатов</w:t>
            </w:r>
          </w:p>
        </w:tc>
      </w:tr>
      <w:tr w:rsidR="004E3FBE" w:rsidRPr="001B3345" w14:paraId="22988779" w14:textId="77777777" w:rsidTr="009B63E4">
        <w:trPr>
          <w:trHeight w:val="310"/>
          <w:jc w:val="center"/>
        </w:trPr>
        <w:tc>
          <w:tcPr>
            <w:tcW w:w="4535" w:type="dxa"/>
            <w:tcMar>
              <w:top w:w="60" w:type="dxa"/>
              <w:left w:w="100" w:type="dxa"/>
              <w:bottom w:w="60" w:type="dxa"/>
              <w:right w:w="100" w:type="dxa"/>
            </w:tcMar>
            <w:vAlign w:val="center"/>
          </w:tcPr>
          <w:p w14:paraId="6E78F15C" w14:textId="77777777" w:rsidR="004E3FBE" w:rsidRPr="001B3345" w:rsidRDefault="004E3FBE" w:rsidP="009B63E4">
            <w:pPr>
              <w:spacing w:line="360" w:lineRule="auto"/>
              <w:rPr>
                <w:szCs w:val="28"/>
              </w:rPr>
            </w:pPr>
            <w:r>
              <w:t>Выявлены только АТ-GAD</w:t>
            </w:r>
          </w:p>
        </w:tc>
        <w:tc>
          <w:tcPr>
            <w:tcW w:w="1417" w:type="dxa"/>
            <w:tcMar>
              <w:top w:w="60" w:type="dxa"/>
              <w:left w:w="100" w:type="dxa"/>
              <w:bottom w:w="60" w:type="dxa"/>
              <w:right w:w="100" w:type="dxa"/>
            </w:tcMar>
            <w:vAlign w:val="center"/>
          </w:tcPr>
          <w:p w14:paraId="30D05A99" w14:textId="77777777" w:rsidR="004E3FBE" w:rsidRPr="001B3345" w:rsidRDefault="004E3FBE" w:rsidP="009B63E4">
            <w:pPr>
              <w:spacing w:line="360" w:lineRule="auto"/>
              <w:jc w:val="center"/>
              <w:rPr>
                <w:szCs w:val="28"/>
              </w:rPr>
            </w:pPr>
            <w:r>
              <w:t>12</w:t>
            </w:r>
          </w:p>
        </w:tc>
        <w:tc>
          <w:tcPr>
            <w:tcW w:w="1417" w:type="dxa"/>
            <w:tcMar>
              <w:top w:w="60" w:type="dxa"/>
              <w:left w:w="100" w:type="dxa"/>
              <w:bottom w:w="60" w:type="dxa"/>
              <w:right w:w="100" w:type="dxa"/>
            </w:tcMar>
            <w:vAlign w:val="center"/>
          </w:tcPr>
          <w:p w14:paraId="443062F1" w14:textId="77777777" w:rsidR="004E3FBE" w:rsidRPr="001B3345" w:rsidRDefault="004E3FBE" w:rsidP="009B63E4">
            <w:pPr>
              <w:spacing w:line="360" w:lineRule="auto"/>
              <w:jc w:val="center"/>
              <w:rPr>
                <w:szCs w:val="28"/>
              </w:rPr>
            </w:pPr>
            <w:r>
              <w:t>31,6</w:t>
            </w:r>
          </w:p>
        </w:tc>
        <w:tc>
          <w:tcPr>
            <w:tcW w:w="2268" w:type="dxa"/>
            <w:tcMar>
              <w:top w:w="60" w:type="dxa"/>
              <w:left w:w="100" w:type="dxa"/>
              <w:bottom w:w="60" w:type="dxa"/>
              <w:right w:w="100" w:type="dxa"/>
            </w:tcMar>
            <w:vAlign w:val="center"/>
          </w:tcPr>
          <w:p w14:paraId="0F509CB5" w14:textId="77777777" w:rsidR="004E3FBE" w:rsidRPr="001B3345" w:rsidRDefault="004E3FBE" w:rsidP="009B63E4">
            <w:pPr>
              <w:spacing w:line="360" w:lineRule="auto"/>
              <w:jc w:val="center"/>
              <w:rPr>
                <w:szCs w:val="28"/>
              </w:rPr>
            </w:pPr>
            <w:r>
              <w:t>19,1-47,5</w:t>
            </w:r>
          </w:p>
        </w:tc>
      </w:tr>
      <w:tr w:rsidR="004E3FBE" w:rsidRPr="00605426" w14:paraId="7303D255" w14:textId="77777777" w:rsidTr="009B63E4">
        <w:trPr>
          <w:trHeight w:val="310"/>
          <w:jc w:val="center"/>
        </w:trPr>
        <w:tc>
          <w:tcPr>
            <w:tcW w:w="4535" w:type="dxa"/>
            <w:tcMar>
              <w:top w:w="60" w:type="dxa"/>
              <w:left w:w="100" w:type="dxa"/>
              <w:bottom w:w="60" w:type="dxa"/>
              <w:right w:w="100" w:type="dxa"/>
            </w:tcMar>
            <w:vAlign w:val="center"/>
          </w:tcPr>
          <w:p w14:paraId="5091FDE1" w14:textId="77777777" w:rsidR="004E3FBE" w:rsidRPr="00605426" w:rsidRDefault="004E3FBE" w:rsidP="009B63E4">
            <w:pPr>
              <w:spacing w:line="360" w:lineRule="auto"/>
              <w:rPr>
                <w:szCs w:val="28"/>
              </w:rPr>
            </w:pPr>
            <w:r>
              <w:t>Выявлены только АТ-IAA</w:t>
            </w:r>
          </w:p>
        </w:tc>
        <w:tc>
          <w:tcPr>
            <w:tcW w:w="1417" w:type="dxa"/>
            <w:tcMar>
              <w:top w:w="60" w:type="dxa"/>
              <w:left w:w="100" w:type="dxa"/>
              <w:bottom w:w="60" w:type="dxa"/>
              <w:right w:w="100" w:type="dxa"/>
            </w:tcMar>
            <w:vAlign w:val="center"/>
          </w:tcPr>
          <w:p w14:paraId="0BC5812D" w14:textId="77777777" w:rsidR="004E3FBE" w:rsidRPr="00605426" w:rsidRDefault="004E3FBE" w:rsidP="009B63E4">
            <w:pPr>
              <w:spacing w:line="360" w:lineRule="auto"/>
              <w:jc w:val="center"/>
              <w:rPr>
                <w:szCs w:val="28"/>
              </w:rPr>
            </w:pPr>
            <w:r>
              <w:t>2</w:t>
            </w:r>
          </w:p>
        </w:tc>
        <w:tc>
          <w:tcPr>
            <w:tcW w:w="1417" w:type="dxa"/>
            <w:tcMar>
              <w:top w:w="60" w:type="dxa"/>
              <w:left w:w="100" w:type="dxa"/>
              <w:bottom w:w="60" w:type="dxa"/>
              <w:right w:w="100" w:type="dxa"/>
            </w:tcMar>
            <w:vAlign w:val="center"/>
          </w:tcPr>
          <w:p w14:paraId="32F9460F" w14:textId="77777777" w:rsidR="004E3FBE" w:rsidRPr="00605426" w:rsidRDefault="004E3FBE" w:rsidP="009B63E4">
            <w:pPr>
              <w:spacing w:line="360" w:lineRule="auto"/>
              <w:jc w:val="center"/>
              <w:rPr>
                <w:szCs w:val="28"/>
              </w:rPr>
            </w:pPr>
            <w:r>
              <w:t>5,3</w:t>
            </w:r>
          </w:p>
        </w:tc>
        <w:tc>
          <w:tcPr>
            <w:tcW w:w="2268" w:type="dxa"/>
            <w:tcMar>
              <w:top w:w="60" w:type="dxa"/>
              <w:left w:w="100" w:type="dxa"/>
              <w:bottom w:w="60" w:type="dxa"/>
              <w:right w:w="100" w:type="dxa"/>
            </w:tcMar>
            <w:vAlign w:val="center"/>
          </w:tcPr>
          <w:p w14:paraId="20017575" w14:textId="77777777" w:rsidR="004E3FBE" w:rsidRPr="00605426" w:rsidRDefault="004E3FBE" w:rsidP="009B63E4">
            <w:pPr>
              <w:spacing w:line="360" w:lineRule="auto"/>
              <w:jc w:val="center"/>
              <w:rPr>
                <w:szCs w:val="28"/>
              </w:rPr>
            </w:pPr>
            <w:r>
              <w:t>1,5-17,3</w:t>
            </w:r>
          </w:p>
        </w:tc>
      </w:tr>
      <w:tr w:rsidR="004E3FBE" w:rsidRPr="00605426" w14:paraId="4F9F73CE" w14:textId="77777777" w:rsidTr="009B63E4">
        <w:trPr>
          <w:trHeight w:val="297"/>
          <w:jc w:val="center"/>
        </w:trPr>
        <w:tc>
          <w:tcPr>
            <w:tcW w:w="4535" w:type="dxa"/>
            <w:tcMar>
              <w:top w:w="60" w:type="dxa"/>
              <w:left w:w="100" w:type="dxa"/>
              <w:bottom w:w="60" w:type="dxa"/>
              <w:right w:w="100" w:type="dxa"/>
            </w:tcMar>
            <w:vAlign w:val="center"/>
          </w:tcPr>
          <w:p w14:paraId="74A8F5FF" w14:textId="77777777" w:rsidR="004E3FBE" w:rsidRPr="00605426" w:rsidRDefault="004E3FBE" w:rsidP="009B63E4">
            <w:pPr>
              <w:spacing w:line="360" w:lineRule="auto"/>
              <w:rPr>
                <w:szCs w:val="28"/>
              </w:rPr>
            </w:pPr>
            <w:r>
              <w:t>Одновременно выявлены АТ-GAD и АТ-IAA</w:t>
            </w:r>
          </w:p>
        </w:tc>
        <w:tc>
          <w:tcPr>
            <w:tcW w:w="1417" w:type="dxa"/>
            <w:tcMar>
              <w:top w:w="60" w:type="dxa"/>
              <w:left w:w="100" w:type="dxa"/>
              <w:bottom w:w="60" w:type="dxa"/>
              <w:right w:w="100" w:type="dxa"/>
            </w:tcMar>
            <w:vAlign w:val="center"/>
          </w:tcPr>
          <w:p w14:paraId="10F21FDD" w14:textId="77777777" w:rsidR="004E3FBE" w:rsidRPr="00605426" w:rsidRDefault="004E3FBE" w:rsidP="009B63E4">
            <w:pPr>
              <w:spacing w:line="360" w:lineRule="auto"/>
              <w:jc w:val="center"/>
              <w:rPr>
                <w:szCs w:val="28"/>
              </w:rPr>
            </w:pPr>
            <w:r>
              <w:t>3</w:t>
            </w:r>
          </w:p>
        </w:tc>
        <w:tc>
          <w:tcPr>
            <w:tcW w:w="1417" w:type="dxa"/>
            <w:tcMar>
              <w:top w:w="60" w:type="dxa"/>
              <w:left w:w="100" w:type="dxa"/>
              <w:bottom w:w="60" w:type="dxa"/>
              <w:right w:w="100" w:type="dxa"/>
            </w:tcMar>
            <w:vAlign w:val="center"/>
          </w:tcPr>
          <w:p w14:paraId="33BD2E3D" w14:textId="77777777" w:rsidR="004E3FBE" w:rsidRPr="00605426" w:rsidRDefault="004E3FBE" w:rsidP="009B63E4">
            <w:pPr>
              <w:spacing w:line="360" w:lineRule="auto"/>
              <w:jc w:val="center"/>
              <w:rPr>
                <w:szCs w:val="28"/>
              </w:rPr>
            </w:pPr>
            <w:r>
              <w:t>7,9</w:t>
            </w:r>
          </w:p>
        </w:tc>
        <w:tc>
          <w:tcPr>
            <w:tcW w:w="2268" w:type="dxa"/>
            <w:tcMar>
              <w:top w:w="60" w:type="dxa"/>
              <w:left w:w="100" w:type="dxa"/>
              <w:bottom w:w="60" w:type="dxa"/>
              <w:right w:w="100" w:type="dxa"/>
            </w:tcMar>
            <w:vAlign w:val="center"/>
          </w:tcPr>
          <w:p w14:paraId="7BA3A28A" w14:textId="77777777" w:rsidR="004E3FBE" w:rsidRPr="00605426" w:rsidRDefault="004E3FBE" w:rsidP="009B63E4">
            <w:pPr>
              <w:spacing w:line="360" w:lineRule="auto"/>
              <w:jc w:val="center"/>
              <w:rPr>
                <w:szCs w:val="28"/>
              </w:rPr>
            </w:pPr>
            <w:r>
              <w:t>2,7-20,8</w:t>
            </w:r>
          </w:p>
        </w:tc>
      </w:tr>
      <w:tr w:rsidR="004E3FBE" w:rsidRPr="00605426" w14:paraId="45CD9B17" w14:textId="77777777" w:rsidTr="009B63E4">
        <w:trPr>
          <w:trHeight w:val="310"/>
          <w:jc w:val="center"/>
        </w:trPr>
        <w:tc>
          <w:tcPr>
            <w:tcW w:w="4535" w:type="dxa"/>
            <w:tcMar>
              <w:top w:w="60" w:type="dxa"/>
              <w:left w:w="100" w:type="dxa"/>
              <w:bottom w:w="60" w:type="dxa"/>
              <w:right w:w="100" w:type="dxa"/>
            </w:tcMar>
            <w:vAlign w:val="center"/>
          </w:tcPr>
          <w:p w14:paraId="332A806D" w14:textId="77777777" w:rsidR="004E3FBE" w:rsidRPr="00605426" w:rsidRDefault="004E3FBE" w:rsidP="009B63E4">
            <w:pPr>
              <w:spacing w:line="360" w:lineRule="auto"/>
              <w:rPr>
                <w:szCs w:val="28"/>
              </w:rPr>
            </w:pPr>
            <w:r>
              <w:t>АТ-GAD и АТ-IAA не выявлены</w:t>
            </w:r>
          </w:p>
        </w:tc>
        <w:tc>
          <w:tcPr>
            <w:tcW w:w="1417" w:type="dxa"/>
            <w:tcMar>
              <w:top w:w="60" w:type="dxa"/>
              <w:left w:w="100" w:type="dxa"/>
              <w:bottom w:w="60" w:type="dxa"/>
              <w:right w:w="100" w:type="dxa"/>
            </w:tcMar>
            <w:vAlign w:val="center"/>
          </w:tcPr>
          <w:p w14:paraId="008DA03B" w14:textId="77777777" w:rsidR="004E3FBE" w:rsidRPr="00605426" w:rsidRDefault="004E3FBE" w:rsidP="009B63E4">
            <w:pPr>
              <w:spacing w:line="360" w:lineRule="auto"/>
              <w:jc w:val="center"/>
              <w:rPr>
                <w:szCs w:val="28"/>
              </w:rPr>
            </w:pPr>
            <w:r>
              <w:t>21</w:t>
            </w:r>
          </w:p>
        </w:tc>
        <w:tc>
          <w:tcPr>
            <w:tcW w:w="1417" w:type="dxa"/>
            <w:tcMar>
              <w:top w:w="60" w:type="dxa"/>
              <w:left w:w="100" w:type="dxa"/>
              <w:bottom w:w="60" w:type="dxa"/>
              <w:right w:w="100" w:type="dxa"/>
            </w:tcMar>
            <w:vAlign w:val="center"/>
          </w:tcPr>
          <w:p w14:paraId="5448A79D" w14:textId="77777777" w:rsidR="004E3FBE" w:rsidRPr="00605426" w:rsidRDefault="004E3FBE" w:rsidP="009B63E4">
            <w:pPr>
              <w:spacing w:line="360" w:lineRule="auto"/>
              <w:jc w:val="center"/>
              <w:rPr>
                <w:szCs w:val="28"/>
              </w:rPr>
            </w:pPr>
            <w:r>
              <w:t>55,3</w:t>
            </w:r>
          </w:p>
        </w:tc>
        <w:tc>
          <w:tcPr>
            <w:tcW w:w="2268" w:type="dxa"/>
            <w:tcMar>
              <w:top w:w="60" w:type="dxa"/>
              <w:left w:w="100" w:type="dxa"/>
              <w:bottom w:w="60" w:type="dxa"/>
              <w:right w:w="100" w:type="dxa"/>
            </w:tcMar>
            <w:vAlign w:val="center"/>
          </w:tcPr>
          <w:p w14:paraId="02530403" w14:textId="77777777" w:rsidR="004E3FBE" w:rsidRPr="00605426" w:rsidRDefault="004E3FBE" w:rsidP="009B63E4">
            <w:pPr>
              <w:spacing w:line="360" w:lineRule="auto"/>
              <w:jc w:val="center"/>
              <w:rPr>
                <w:szCs w:val="28"/>
              </w:rPr>
            </w:pPr>
            <w:r>
              <w:t>39,7-69,9</w:t>
            </w:r>
          </w:p>
        </w:tc>
      </w:tr>
      <w:tr w:rsidR="004E3FBE" w:rsidRPr="00605426" w14:paraId="1A7BF1F6" w14:textId="77777777" w:rsidTr="009B63E4">
        <w:trPr>
          <w:trHeight w:val="310"/>
          <w:jc w:val="center"/>
        </w:trPr>
        <w:tc>
          <w:tcPr>
            <w:tcW w:w="2268" w:type="dxa"/>
            <w:gridSpan w:val="4"/>
            <w:shd w:val="clear" w:color="auto" w:fill="E7E6E6"/>
            <w:tcMar>
              <w:top w:w="60" w:type="dxa"/>
              <w:left w:w="100" w:type="dxa"/>
              <w:bottom w:w="60" w:type="dxa"/>
              <w:right w:w="100" w:type="dxa"/>
            </w:tcMar>
            <w:vAlign w:val="center"/>
          </w:tcPr>
          <w:p w14:paraId="7BC39D71" w14:textId="77777777" w:rsidR="004E3FBE" w:rsidRPr="00605426" w:rsidRDefault="004E3FBE" w:rsidP="009B63E4">
            <w:pPr>
              <w:spacing w:line="360" w:lineRule="auto"/>
              <w:rPr>
                <w:szCs w:val="28"/>
              </w:rPr>
            </w:pPr>
            <w:r>
              <w:rPr>
                <w:b/>
              </w:rPr>
              <w:t>Тиреоидные и другие лабораторные показатели</w:t>
            </w:r>
          </w:p>
        </w:tc>
      </w:tr>
      <w:tr w:rsidR="004E3FBE" w:rsidRPr="00605426" w14:paraId="6EB44847" w14:textId="77777777" w:rsidTr="009B63E4">
        <w:trPr>
          <w:trHeight w:val="622"/>
          <w:jc w:val="center"/>
        </w:trPr>
        <w:tc>
          <w:tcPr>
            <w:tcW w:w="4535" w:type="dxa"/>
            <w:tcMar>
              <w:top w:w="60" w:type="dxa"/>
              <w:left w:w="100" w:type="dxa"/>
              <w:bottom w:w="60" w:type="dxa"/>
              <w:right w:w="100" w:type="dxa"/>
            </w:tcMar>
            <w:vAlign w:val="center"/>
          </w:tcPr>
          <w:p w14:paraId="1FFE323A" w14:textId="77777777" w:rsidR="004E3FBE" w:rsidRPr="00605426" w:rsidRDefault="004E3FBE" w:rsidP="009B63E4">
            <w:pPr>
              <w:spacing w:line="360" w:lineRule="auto"/>
              <w:rPr>
                <w:szCs w:val="28"/>
              </w:rPr>
            </w:pPr>
            <w:r>
              <w:t>Выявлены АТ-ТПО</w:t>
            </w:r>
          </w:p>
        </w:tc>
        <w:tc>
          <w:tcPr>
            <w:tcW w:w="1417" w:type="dxa"/>
            <w:tcMar>
              <w:top w:w="60" w:type="dxa"/>
              <w:left w:w="100" w:type="dxa"/>
              <w:bottom w:w="60" w:type="dxa"/>
              <w:right w:w="100" w:type="dxa"/>
            </w:tcMar>
            <w:vAlign w:val="center"/>
          </w:tcPr>
          <w:p w14:paraId="75D995F6" w14:textId="77777777" w:rsidR="004E3FBE" w:rsidRPr="00605426" w:rsidRDefault="004E3FBE" w:rsidP="009B63E4">
            <w:pPr>
              <w:spacing w:line="360" w:lineRule="auto"/>
              <w:jc w:val="center"/>
              <w:rPr>
                <w:szCs w:val="28"/>
              </w:rPr>
            </w:pPr>
            <w:r>
              <w:t>6</w:t>
            </w:r>
          </w:p>
        </w:tc>
        <w:tc>
          <w:tcPr>
            <w:tcW w:w="1417" w:type="dxa"/>
            <w:tcMar>
              <w:top w:w="60" w:type="dxa"/>
              <w:left w:w="100" w:type="dxa"/>
              <w:bottom w:w="60" w:type="dxa"/>
              <w:right w:w="100" w:type="dxa"/>
            </w:tcMar>
            <w:vAlign w:val="center"/>
          </w:tcPr>
          <w:p w14:paraId="375AF5BB" w14:textId="77777777" w:rsidR="004E3FBE" w:rsidRPr="00605426" w:rsidRDefault="004E3FBE" w:rsidP="009B63E4">
            <w:pPr>
              <w:spacing w:line="360" w:lineRule="auto"/>
              <w:jc w:val="center"/>
              <w:rPr>
                <w:szCs w:val="28"/>
              </w:rPr>
            </w:pPr>
            <w:r>
              <w:t>15,8</w:t>
            </w:r>
          </w:p>
        </w:tc>
        <w:tc>
          <w:tcPr>
            <w:tcW w:w="2268" w:type="dxa"/>
            <w:tcMar>
              <w:top w:w="60" w:type="dxa"/>
              <w:left w:w="100" w:type="dxa"/>
              <w:bottom w:w="60" w:type="dxa"/>
              <w:right w:w="100" w:type="dxa"/>
            </w:tcMar>
            <w:vAlign w:val="center"/>
          </w:tcPr>
          <w:p w14:paraId="3791C80C" w14:textId="77777777" w:rsidR="004E3FBE" w:rsidRPr="00605426" w:rsidRDefault="004E3FBE" w:rsidP="009B63E4">
            <w:pPr>
              <w:spacing w:line="360" w:lineRule="auto"/>
              <w:jc w:val="center"/>
              <w:rPr>
                <w:szCs w:val="28"/>
              </w:rPr>
            </w:pPr>
            <w:r>
              <w:t>7,4-30,4</w:t>
            </w:r>
          </w:p>
        </w:tc>
      </w:tr>
      <w:tr w:rsidR="004E3FBE" w:rsidRPr="00605426" w14:paraId="091D78D1" w14:textId="77777777" w:rsidTr="009B63E4">
        <w:trPr>
          <w:trHeight w:val="310"/>
          <w:jc w:val="center"/>
        </w:trPr>
        <w:tc>
          <w:tcPr>
            <w:tcW w:w="4535" w:type="dxa"/>
            <w:tcMar>
              <w:top w:w="60" w:type="dxa"/>
              <w:left w:w="100" w:type="dxa"/>
              <w:bottom w:w="60" w:type="dxa"/>
              <w:right w:w="100" w:type="dxa"/>
            </w:tcMar>
            <w:vAlign w:val="center"/>
          </w:tcPr>
          <w:p w14:paraId="1545B66B" w14:textId="77777777" w:rsidR="004E3FBE" w:rsidRPr="00605426" w:rsidRDefault="004E3FBE" w:rsidP="009B63E4">
            <w:pPr>
              <w:spacing w:line="360" w:lineRule="auto"/>
              <w:rPr>
                <w:szCs w:val="28"/>
              </w:rPr>
            </w:pPr>
            <w:r>
              <w:t>Повышен уровень ТТГ</w:t>
            </w:r>
          </w:p>
        </w:tc>
        <w:tc>
          <w:tcPr>
            <w:tcW w:w="1417" w:type="dxa"/>
            <w:tcMar>
              <w:top w:w="60" w:type="dxa"/>
              <w:left w:w="100" w:type="dxa"/>
              <w:bottom w:w="60" w:type="dxa"/>
              <w:right w:w="100" w:type="dxa"/>
            </w:tcMar>
            <w:vAlign w:val="center"/>
          </w:tcPr>
          <w:p w14:paraId="2E73ECA1" w14:textId="77777777" w:rsidR="004E3FBE" w:rsidRPr="00605426" w:rsidRDefault="004E3FBE" w:rsidP="009B63E4">
            <w:pPr>
              <w:spacing w:line="360" w:lineRule="auto"/>
              <w:jc w:val="center"/>
              <w:rPr>
                <w:szCs w:val="28"/>
              </w:rPr>
            </w:pPr>
            <w:r>
              <w:t>6</w:t>
            </w:r>
          </w:p>
        </w:tc>
        <w:tc>
          <w:tcPr>
            <w:tcW w:w="1417" w:type="dxa"/>
            <w:tcMar>
              <w:top w:w="60" w:type="dxa"/>
              <w:left w:w="100" w:type="dxa"/>
              <w:bottom w:w="60" w:type="dxa"/>
              <w:right w:w="100" w:type="dxa"/>
            </w:tcMar>
            <w:vAlign w:val="center"/>
          </w:tcPr>
          <w:p w14:paraId="3049BA73" w14:textId="77777777" w:rsidR="004E3FBE" w:rsidRPr="00605426" w:rsidRDefault="004E3FBE" w:rsidP="009B63E4">
            <w:pPr>
              <w:spacing w:line="360" w:lineRule="auto"/>
              <w:jc w:val="center"/>
              <w:rPr>
                <w:szCs w:val="28"/>
              </w:rPr>
            </w:pPr>
            <w:r>
              <w:t>15,8</w:t>
            </w:r>
          </w:p>
        </w:tc>
        <w:tc>
          <w:tcPr>
            <w:tcW w:w="2268" w:type="dxa"/>
            <w:tcMar>
              <w:top w:w="60" w:type="dxa"/>
              <w:left w:w="100" w:type="dxa"/>
              <w:bottom w:w="60" w:type="dxa"/>
              <w:right w:w="100" w:type="dxa"/>
            </w:tcMar>
            <w:vAlign w:val="center"/>
          </w:tcPr>
          <w:p w14:paraId="17829F14" w14:textId="77777777" w:rsidR="004E3FBE" w:rsidRPr="00605426" w:rsidRDefault="004E3FBE" w:rsidP="009B63E4">
            <w:pPr>
              <w:spacing w:line="360" w:lineRule="auto"/>
              <w:jc w:val="center"/>
              <w:rPr>
                <w:szCs w:val="28"/>
              </w:rPr>
            </w:pPr>
            <w:r>
              <w:t>7,4-30,4</w:t>
            </w:r>
          </w:p>
        </w:tc>
      </w:tr>
      <w:tr w:rsidR="004E3FBE" w14:paraId="4DA114F1" w14:textId="77777777" w:rsidTr="009B63E4">
        <w:trPr>
          <w:jc w:val="center"/>
        </w:trPr>
        <w:tc>
          <w:tcPr>
            <w:tcW w:w="4535" w:type="dxa"/>
            <w:vAlign w:val="center"/>
          </w:tcPr>
          <w:p w14:paraId="4AB0A665" w14:textId="77777777" w:rsidR="004E3FBE" w:rsidRDefault="004E3FBE" w:rsidP="009B63E4">
            <w:pPr>
              <w:spacing w:line="360" w:lineRule="auto"/>
              <w:rPr>
                <w:szCs w:val="28"/>
              </w:rPr>
            </w:pPr>
            <w:r>
              <w:t>Субклинический гипотиреоз</w:t>
            </w:r>
          </w:p>
        </w:tc>
        <w:tc>
          <w:tcPr>
            <w:tcW w:w="1417" w:type="dxa"/>
            <w:vAlign w:val="center"/>
          </w:tcPr>
          <w:p w14:paraId="75EC3A91" w14:textId="77777777" w:rsidR="004E3FBE" w:rsidRDefault="004E3FBE" w:rsidP="009B63E4">
            <w:pPr>
              <w:spacing w:line="360" w:lineRule="auto"/>
              <w:jc w:val="center"/>
              <w:rPr>
                <w:szCs w:val="28"/>
              </w:rPr>
            </w:pPr>
            <w:r>
              <w:t>4</w:t>
            </w:r>
          </w:p>
        </w:tc>
        <w:tc>
          <w:tcPr>
            <w:tcW w:w="1417" w:type="dxa"/>
            <w:vAlign w:val="center"/>
          </w:tcPr>
          <w:p w14:paraId="028FD0A1" w14:textId="77777777" w:rsidR="004E3FBE" w:rsidRDefault="004E3FBE" w:rsidP="009B63E4">
            <w:pPr>
              <w:spacing w:line="360" w:lineRule="auto"/>
              <w:jc w:val="center"/>
              <w:rPr>
                <w:szCs w:val="28"/>
              </w:rPr>
            </w:pPr>
            <w:r>
              <w:t>10,5</w:t>
            </w:r>
          </w:p>
        </w:tc>
        <w:tc>
          <w:tcPr>
            <w:tcW w:w="2268" w:type="dxa"/>
            <w:vAlign w:val="center"/>
          </w:tcPr>
          <w:p w14:paraId="62435F04" w14:textId="77777777" w:rsidR="004E3FBE" w:rsidRDefault="004E3FBE" w:rsidP="009B63E4">
            <w:pPr>
              <w:spacing w:line="360" w:lineRule="auto"/>
              <w:jc w:val="center"/>
              <w:rPr>
                <w:szCs w:val="28"/>
              </w:rPr>
            </w:pPr>
            <w:r>
              <w:t>4,2-24,1</w:t>
            </w:r>
          </w:p>
        </w:tc>
      </w:tr>
      <w:tr w:rsidR="004E3FBE" w14:paraId="007C3775" w14:textId="77777777" w:rsidTr="009B63E4">
        <w:trPr>
          <w:jc w:val="center"/>
        </w:trPr>
        <w:tc>
          <w:tcPr>
            <w:tcW w:w="4535" w:type="dxa"/>
            <w:vAlign w:val="center"/>
          </w:tcPr>
          <w:p w14:paraId="37AD2F07" w14:textId="77777777" w:rsidR="004E3FBE" w:rsidRDefault="004E3FBE" w:rsidP="009B63E4">
            <w:pPr>
              <w:spacing w:line="360" w:lineRule="auto"/>
              <w:rPr>
                <w:szCs w:val="28"/>
              </w:rPr>
            </w:pPr>
            <w:r>
              <w:t>Манифестный гипотиреоз</w:t>
            </w:r>
          </w:p>
        </w:tc>
        <w:tc>
          <w:tcPr>
            <w:tcW w:w="1417" w:type="dxa"/>
            <w:vAlign w:val="center"/>
          </w:tcPr>
          <w:p w14:paraId="09F1F258" w14:textId="77777777" w:rsidR="004E3FBE" w:rsidRDefault="004E3FBE" w:rsidP="009B63E4">
            <w:pPr>
              <w:spacing w:line="360" w:lineRule="auto"/>
              <w:jc w:val="center"/>
              <w:rPr>
                <w:szCs w:val="28"/>
              </w:rPr>
            </w:pPr>
            <w:r>
              <w:t>2</w:t>
            </w:r>
          </w:p>
        </w:tc>
        <w:tc>
          <w:tcPr>
            <w:tcW w:w="1417" w:type="dxa"/>
            <w:vAlign w:val="center"/>
          </w:tcPr>
          <w:p w14:paraId="21EAC26F" w14:textId="77777777" w:rsidR="004E3FBE" w:rsidRDefault="004E3FBE" w:rsidP="009B63E4">
            <w:pPr>
              <w:spacing w:line="360" w:lineRule="auto"/>
              <w:jc w:val="center"/>
              <w:rPr>
                <w:szCs w:val="28"/>
              </w:rPr>
            </w:pPr>
            <w:r>
              <w:t>5,3</w:t>
            </w:r>
          </w:p>
        </w:tc>
        <w:tc>
          <w:tcPr>
            <w:tcW w:w="2268" w:type="dxa"/>
            <w:vAlign w:val="center"/>
          </w:tcPr>
          <w:p w14:paraId="4631D319" w14:textId="77777777" w:rsidR="004E3FBE" w:rsidRDefault="004E3FBE" w:rsidP="009B63E4">
            <w:pPr>
              <w:spacing w:line="360" w:lineRule="auto"/>
              <w:jc w:val="center"/>
              <w:rPr>
                <w:szCs w:val="28"/>
              </w:rPr>
            </w:pPr>
            <w:r>
              <w:t>1,5-17,3</w:t>
            </w:r>
          </w:p>
        </w:tc>
      </w:tr>
      <w:tr w:rsidR="004E3FBE" w14:paraId="60AE3355" w14:textId="77777777" w:rsidTr="009B63E4">
        <w:trPr>
          <w:jc w:val="center"/>
        </w:trPr>
        <w:tc>
          <w:tcPr>
            <w:tcW w:w="4535" w:type="dxa"/>
            <w:vAlign w:val="center"/>
          </w:tcPr>
          <w:p w14:paraId="38684105" w14:textId="77777777" w:rsidR="004E3FBE" w:rsidRDefault="004E3FBE" w:rsidP="009B63E4">
            <w:pPr>
              <w:spacing w:line="360" w:lineRule="auto"/>
              <w:rPr>
                <w:szCs w:val="28"/>
              </w:rPr>
            </w:pPr>
            <w:r>
              <w:t>Дефицит витамина D</w:t>
            </w:r>
          </w:p>
        </w:tc>
        <w:tc>
          <w:tcPr>
            <w:tcW w:w="1417" w:type="dxa"/>
            <w:vAlign w:val="center"/>
          </w:tcPr>
          <w:p w14:paraId="12933B88" w14:textId="77777777" w:rsidR="004E3FBE" w:rsidRDefault="004E3FBE" w:rsidP="009B63E4">
            <w:pPr>
              <w:spacing w:line="360" w:lineRule="auto"/>
              <w:jc w:val="center"/>
              <w:rPr>
                <w:szCs w:val="28"/>
              </w:rPr>
            </w:pPr>
            <w:r>
              <w:t>9</w:t>
            </w:r>
          </w:p>
        </w:tc>
        <w:tc>
          <w:tcPr>
            <w:tcW w:w="1417" w:type="dxa"/>
            <w:vAlign w:val="center"/>
          </w:tcPr>
          <w:p w14:paraId="355F7FC3" w14:textId="77777777" w:rsidR="004E3FBE" w:rsidRDefault="004E3FBE" w:rsidP="009B63E4">
            <w:pPr>
              <w:spacing w:line="360" w:lineRule="auto"/>
              <w:jc w:val="center"/>
              <w:rPr>
                <w:szCs w:val="28"/>
              </w:rPr>
            </w:pPr>
            <w:r>
              <w:t>23,7</w:t>
            </w:r>
          </w:p>
        </w:tc>
        <w:tc>
          <w:tcPr>
            <w:tcW w:w="2268" w:type="dxa"/>
            <w:vAlign w:val="center"/>
          </w:tcPr>
          <w:p w14:paraId="2BB52DE3" w14:textId="77777777" w:rsidR="004E3FBE" w:rsidRDefault="004E3FBE" w:rsidP="009B63E4">
            <w:pPr>
              <w:spacing w:line="360" w:lineRule="auto"/>
              <w:jc w:val="center"/>
              <w:rPr>
                <w:szCs w:val="28"/>
              </w:rPr>
            </w:pPr>
            <w:r>
              <w:t>13,0-39,2</w:t>
            </w:r>
          </w:p>
        </w:tc>
      </w:tr>
    </w:tbl>
    <w:p>
      <w:pPr>
        <w:spacing w:line="360" w:lineRule="auto"/>
        <w:jc w:val="both"/>
        <w:rPr>
          <w:szCs w:val="28"/>
        </w:rPr>
      </w:pPr>
      <w:r>
        <w:t xml:space="preserve">Примечание. Данные по АТ-GAD и АТ-IAA пересекаются: у 3 детей выявлены оба антитела. Взаимоисключающие варианты охватывают всех 38 пациентов. Сопоставление АТ-ТПО с функцией щитовидной железы приведено в табл. 2.</w:t>
      </w:r>
    </w:p>
    <w:p w14:paraId="7987196B" w14:textId="77777777" w:rsidR="004E3FBE" w:rsidRPr="00605426" w:rsidRDefault="004E3FBE" w:rsidP="004E3FBE">
      <w:pPr>
        <w:jc w:val="both"/>
        <w:rPr>
          <w:szCs w:val="28"/>
        </w:rPr>
      </w:pPr>
    </w:p>
    <w:p>
      <w:pPr>
        <w:keepNext/>
        <w:spacing w:line="360" w:lineRule="auto"/>
        <w:rPr>
          <w:szCs w:val="28"/>
        </w:rPr>
      </w:pPr>
      <w:r>
        <w:t xml:space="preserve">Таблица 2. Функция щитовидной железы у детей с АТ-ТПО и без них (n = 38)</w:t>
      </w:r>
    </w:p>
    <w:tbl>
      <w:tblPr>
        <w:tblW w:w="95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66"/>
        <w:gridCol w:w="2000"/>
        <w:gridCol w:w="2000"/>
        <w:gridCol w:w="1600"/>
      </w:tblGrid>
      <w:tr>
        <w:trPr>
          <w:trHeight w:val="310"/>
          <w:tblHeader/>
          <w:jc w:val="center"/>
        </w:trPr>
        <w:tc>
          <w:tcPr>
            <w:tcW w:w="3966" w:type="dxa"/>
            <w:shd w:val="clear" w:color="auto" w:fill="E7E6E6"/>
            <w:tcMar>
              <w:top w:w="60" w:type="dxa"/>
              <w:left w:w="100" w:type="dxa"/>
              <w:bottom w:w="60" w:type="dxa"/>
              <w:right w:w="100" w:type="dxa"/>
            </w:tcMar>
            <w:vAlign w:val="center"/>
          </w:tcPr>
          <w:p>
            <w:pPr>
              <w:spacing w:line="240" w:lineRule="auto"/>
              <w:jc w:val="center"/>
              <w:rPr>
                <w:szCs w:val="28"/>
              </w:rPr>
            </w:pPr>
            <w:r>
              <w:rPr>
                <w:b/>
              </w:rPr>
              <w:t xml:space="preserve">Функция щитовидной железы</w:t>
            </w:r>
          </w:p>
        </w:tc>
        <w:tc>
          <w:tcPr>
            <w:tcW w:w="2000" w:type="dxa"/>
            <w:shd w:val="clear" w:color="auto" w:fill="E7E6E6"/>
            <w:tcMar>
              <w:top w:w="60" w:type="dxa"/>
              <w:left w:w="100" w:type="dxa"/>
              <w:bottom w:w="60" w:type="dxa"/>
              <w:right w:w="100" w:type="dxa"/>
            </w:tcMar>
            <w:vAlign w:val="center"/>
          </w:tcPr>
          <w:p>
            <w:pPr>
              <w:spacing w:line="240" w:lineRule="auto"/>
              <w:jc w:val="center"/>
              <w:rPr>
                <w:szCs w:val="28"/>
              </w:rPr>
            </w:pPr>
            <w:r>
              <w:rPr>
                <w:b/>
              </w:rPr>
              <w:t xml:space="preserve">АТ-ТПО выявлены</w:t>
            </w:r>
          </w:p>
        </w:tc>
        <w:tc>
          <w:tcPr>
            <w:tcW w:w="2000" w:type="dxa"/>
            <w:shd w:val="clear" w:color="auto" w:fill="E7E6E6"/>
            <w:tcMar>
              <w:top w:w="60" w:type="dxa"/>
              <w:left w:w="100" w:type="dxa"/>
              <w:bottom w:w="60" w:type="dxa"/>
              <w:right w:w="100" w:type="dxa"/>
            </w:tcMar>
            <w:vAlign w:val="center"/>
          </w:tcPr>
          <w:p>
            <w:pPr>
              <w:spacing w:line="240" w:lineRule="auto"/>
              <w:jc w:val="center"/>
              <w:rPr>
                <w:szCs w:val="28"/>
              </w:rPr>
            </w:pPr>
            <w:r>
              <w:rPr>
                <w:b/>
              </w:rPr>
              <w:t xml:space="preserve">АТ-ТПО не выявлены</w:t>
            </w:r>
          </w:p>
        </w:tc>
        <w:tc>
          <w:tcPr>
            <w:tcW w:w="1600" w:type="dxa"/>
            <w:shd w:val="clear" w:color="auto" w:fill="E7E6E6"/>
            <w:tcMar>
              <w:top w:w="60" w:type="dxa"/>
              <w:left w:w="100" w:type="dxa"/>
              <w:bottom w:w="60" w:type="dxa"/>
              <w:right w:w="100" w:type="dxa"/>
            </w:tcMar>
            <w:vAlign w:val="center"/>
          </w:tcPr>
          <w:p>
            <w:pPr>
              <w:spacing w:line="240" w:lineRule="auto"/>
              <w:jc w:val="center"/>
              <w:rPr>
                <w:szCs w:val="28"/>
              </w:rPr>
            </w:pPr>
            <w:r>
              <w:rPr>
                <w:b/>
              </w:rPr>
              <w:t xml:space="preserve">Всего</w:t>
            </w:r>
          </w:p>
        </w:tc>
      </w:tr>
      <w:tr>
        <w:trPr>
          <w:trHeight w:val="297"/>
          <w:jc w:val="center"/>
        </w:trPr>
        <w:tc>
          <w:tcPr>
            <w:tcW w:w="3966" w:type="dxa"/>
            <w:tcMar>
              <w:top w:w="60" w:type="dxa"/>
              <w:left w:w="100" w:type="dxa"/>
              <w:bottom w:w="60" w:type="dxa"/>
              <w:right w:w="100" w:type="dxa"/>
            </w:tcMar>
            <w:vAlign w:val="center"/>
          </w:tcPr>
          <w:p>
            <w:pPr>
              <w:spacing w:line="240" w:lineRule="auto"/>
              <w:rPr>
                <w:szCs w:val="28"/>
              </w:rPr>
            </w:pPr>
            <w:r>
              <w:t xml:space="preserve">ТТГ в норме</w:t>
            </w:r>
          </w:p>
        </w:tc>
        <w:tc>
          <w:tcPr>
            <w:tcW w:w="2000" w:type="dxa"/>
            <w:tcMar>
              <w:top w:w="60" w:type="dxa"/>
              <w:left w:w="100" w:type="dxa"/>
              <w:bottom w:w="60" w:type="dxa"/>
              <w:right w:w="100" w:type="dxa"/>
            </w:tcMar>
            <w:vAlign w:val="center"/>
          </w:tcPr>
          <w:p>
            <w:pPr>
              <w:spacing w:line="240" w:lineRule="auto"/>
              <w:jc w:val="center"/>
              <w:rPr>
                <w:szCs w:val="28"/>
              </w:rPr>
            </w:pPr>
            <w:r>
              <w:t xml:space="preserve">3</w:t>
            </w:r>
          </w:p>
        </w:tc>
        <w:tc>
          <w:tcPr>
            <w:tcW w:w="2000" w:type="dxa"/>
            <w:tcMar>
              <w:top w:w="60" w:type="dxa"/>
              <w:left w:w="100" w:type="dxa"/>
              <w:bottom w:w="60" w:type="dxa"/>
              <w:right w:w="100" w:type="dxa"/>
            </w:tcMar>
            <w:vAlign w:val="center"/>
          </w:tcPr>
          <w:p>
            <w:pPr>
              <w:spacing w:line="240" w:lineRule="auto"/>
              <w:jc w:val="center"/>
              <w:rPr>
                <w:szCs w:val="28"/>
              </w:rPr>
            </w:pPr>
            <w:r>
              <w:t xml:space="preserve">29</w:t>
            </w:r>
          </w:p>
        </w:tc>
        <w:tc>
          <w:tcPr>
            <w:tcW w:w="1600" w:type="dxa"/>
            <w:tcMar>
              <w:top w:w="60" w:type="dxa"/>
              <w:left w:w="100" w:type="dxa"/>
              <w:bottom w:w="60" w:type="dxa"/>
              <w:right w:w="100" w:type="dxa"/>
            </w:tcMar>
            <w:vAlign w:val="center"/>
          </w:tcPr>
          <w:p>
            <w:pPr>
              <w:spacing w:line="240" w:lineRule="auto"/>
              <w:jc w:val="center"/>
              <w:rPr>
                <w:szCs w:val="28"/>
              </w:rPr>
            </w:pPr>
            <w:r>
              <w:t xml:space="preserve">32</w:t>
            </w:r>
          </w:p>
        </w:tc>
      </w:tr>
      <w:tr>
        <w:trPr>
          <w:trHeight w:val="297"/>
          <w:jc w:val="center"/>
        </w:trPr>
        <w:tc>
          <w:tcPr>
            <w:tcW w:w="3966" w:type="dxa"/>
            <w:tcMar>
              <w:top w:w="60" w:type="dxa"/>
              <w:left w:w="100" w:type="dxa"/>
              <w:bottom w:w="60" w:type="dxa"/>
              <w:right w:w="100" w:type="dxa"/>
            </w:tcMar>
            <w:vAlign w:val="center"/>
          </w:tcPr>
          <w:p>
            <w:pPr>
              <w:spacing w:line="240" w:lineRule="auto"/>
              <w:rPr>
                <w:szCs w:val="28"/>
              </w:rPr>
            </w:pPr>
            <w:r>
              <w:t xml:space="preserve">Субклинический гипотиреоз</w:t>
            </w:r>
          </w:p>
        </w:tc>
        <w:tc>
          <w:tcPr>
            <w:tcW w:w="2000" w:type="dxa"/>
            <w:tcMar>
              <w:top w:w="60" w:type="dxa"/>
              <w:left w:w="100" w:type="dxa"/>
              <w:bottom w:w="60" w:type="dxa"/>
              <w:right w:w="100" w:type="dxa"/>
            </w:tcMar>
            <w:vAlign w:val="center"/>
          </w:tcPr>
          <w:p>
            <w:pPr>
              <w:spacing w:line="240" w:lineRule="auto"/>
              <w:jc w:val="center"/>
              <w:rPr>
                <w:szCs w:val="28"/>
              </w:rPr>
            </w:pPr>
            <w:r>
              <w:t xml:space="preserve">2</w:t>
            </w:r>
          </w:p>
        </w:tc>
        <w:tc>
          <w:tcPr>
            <w:tcW w:w="2000" w:type="dxa"/>
            <w:tcMar>
              <w:top w:w="60" w:type="dxa"/>
              <w:left w:w="100" w:type="dxa"/>
              <w:bottom w:w="60" w:type="dxa"/>
              <w:right w:w="100" w:type="dxa"/>
            </w:tcMar>
            <w:vAlign w:val="center"/>
          </w:tcPr>
          <w:p>
            <w:pPr>
              <w:spacing w:line="240" w:lineRule="auto"/>
              <w:jc w:val="center"/>
              <w:rPr>
                <w:szCs w:val="28"/>
              </w:rPr>
            </w:pPr>
            <w:r>
              <w:t xml:space="preserve">2</w:t>
            </w:r>
          </w:p>
        </w:tc>
        <w:tc>
          <w:tcPr>
            <w:tcW w:w="1600" w:type="dxa"/>
            <w:tcMar>
              <w:top w:w="60" w:type="dxa"/>
              <w:left w:w="100" w:type="dxa"/>
              <w:bottom w:w="60" w:type="dxa"/>
              <w:right w:w="100" w:type="dxa"/>
            </w:tcMar>
            <w:vAlign w:val="center"/>
          </w:tcPr>
          <w:p>
            <w:pPr>
              <w:spacing w:line="240" w:lineRule="auto"/>
              <w:jc w:val="center"/>
              <w:rPr>
                <w:szCs w:val="28"/>
              </w:rPr>
            </w:pPr>
            <w:r>
              <w:t xml:space="preserve">4</w:t>
            </w:r>
          </w:p>
        </w:tc>
      </w:tr>
      <w:tr>
        <w:trPr>
          <w:trHeight w:val="297"/>
          <w:jc w:val="center"/>
        </w:trPr>
        <w:tc>
          <w:tcPr>
            <w:tcW w:w="3966" w:type="dxa"/>
            <w:tcMar>
              <w:top w:w="60" w:type="dxa"/>
              <w:left w:w="100" w:type="dxa"/>
              <w:bottom w:w="60" w:type="dxa"/>
              <w:right w:w="100" w:type="dxa"/>
            </w:tcMar>
            <w:vAlign w:val="center"/>
          </w:tcPr>
          <w:p>
            <w:pPr>
              <w:spacing w:line="240" w:lineRule="auto"/>
              <w:rPr>
                <w:szCs w:val="28"/>
              </w:rPr>
            </w:pPr>
            <w:r>
              <w:t xml:space="preserve">Манифестный гипотиреоз</w:t>
            </w:r>
          </w:p>
        </w:tc>
        <w:tc>
          <w:tcPr>
            <w:tcW w:w="2000" w:type="dxa"/>
            <w:tcMar>
              <w:top w:w="60" w:type="dxa"/>
              <w:left w:w="100" w:type="dxa"/>
              <w:bottom w:w="60" w:type="dxa"/>
              <w:right w:w="100" w:type="dxa"/>
            </w:tcMar>
            <w:vAlign w:val="center"/>
          </w:tcPr>
          <w:p>
            <w:pPr>
              <w:spacing w:line="240" w:lineRule="auto"/>
              <w:jc w:val="center"/>
              <w:rPr>
                <w:szCs w:val="28"/>
              </w:rPr>
            </w:pPr>
            <w:r>
              <w:t xml:space="preserve">1</w:t>
            </w:r>
          </w:p>
        </w:tc>
        <w:tc>
          <w:tcPr>
            <w:tcW w:w="2000" w:type="dxa"/>
            <w:tcMar>
              <w:top w:w="60" w:type="dxa"/>
              <w:left w:w="100" w:type="dxa"/>
              <w:bottom w:w="60" w:type="dxa"/>
              <w:right w:w="100" w:type="dxa"/>
            </w:tcMar>
            <w:vAlign w:val="center"/>
          </w:tcPr>
          <w:p>
            <w:pPr>
              <w:spacing w:line="240" w:lineRule="auto"/>
              <w:jc w:val="center"/>
              <w:rPr>
                <w:szCs w:val="28"/>
              </w:rPr>
            </w:pPr>
            <w:r>
              <w:t xml:space="preserve">1</w:t>
            </w:r>
          </w:p>
        </w:tc>
        <w:tc>
          <w:tcPr>
            <w:tcW w:w="1600" w:type="dxa"/>
            <w:tcMar>
              <w:top w:w="60" w:type="dxa"/>
              <w:left w:w="100" w:type="dxa"/>
              <w:bottom w:w="60" w:type="dxa"/>
              <w:right w:w="100" w:type="dxa"/>
            </w:tcMar>
            <w:vAlign w:val="center"/>
          </w:tcPr>
          <w:p>
            <w:pPr>
              <w:spacing w:line="240" w:lineRule="auto"/>
              <w:jc w:val="center"/>
              <w:rPr>
                <w:szCs w:val="28"/>
              </w:rPr>
            </w:pPr>
            <w:r>
              <w:t xml:space="preserve">2</w:t>
            </w:r>
          </w:p>
        </w:tc>
      </w:tr>
      <w:tr>
        <w:trPr>
          <w:trHeight w:val="297"/>
          <w:jc w:val="center"/>
        </w:trPr>
        <w:tc>
          <w:tcPr>
            <w:tcW w:w="3966" w:type="dxa"/>
            <w:tcMar>
              <w:top w:w="60" w:type="dxa"/>
              <w:left w:w="100" w:type="dxa"/>
              <w:bottom w:w="60" w:type="dxa"/>
              <w:right w:w="100" w:type="dxa"/>
            </w:tcMar>
            <w:vAlign w:val="center"/>
          </w:tcPr>
          <w:p>
            <w:pPr>
              <w:spacing w:line="240" w:lineRule="auto"/>
              <w:rPr>
                <w:szCs w:val="28"/>
              </w:rPr>
            </w:pPr>
            <w:r>
              <w:t xml:space="preserve">Всего</w:t>
            </w:r>
          </w:p>
        </w:tc>
        <w:tc>
          <w:tcPr>
            <w:tcW w:w="2000" w:type="dxa"/>
            <w:tcMar>
              <w:top w:w="60" w:type="dxa"/>
              <w:left w:w="100" w:type="dxa"/>
              <w:bottom w:w="60" w:type="dxa"/>
              <w:right w:w="100" w:type="dxa"/>
            </w:tcMar>
            <w:vAlign w:val="center"/>
          </w:tcPr>
          <w:p>
            <w:pPr>
              <w:spacing w:line="240" w:lineRule="auto"/>
              <w:jc w:val="center"/>
              <w:rPr>
                <w:szCs w:val="28"/>
              </w:rPr>
            </w:pPr>
            <w:r>
              <w:t xml:space="preserve">6</w:t>
            </w:r>
          </w:p>
        </w:tc>
        <w:tc>
          <w:tcPr>
            <w:tcW w:w="2000" w:type="dxa"/>
            <w:tcMar>
              <w:top w:w="60" w:type="dxa"/>
              <w:left w:w="100" w:type="dxa"/>
              <w:bottom w:w="60" w:type="dxa"/>
              <w:right w:w="100" w:type="dxa"/>
            </w:tcMar>
            <w:vAlign w:val="center"/>
          </w:tcPr>
          <w:p>
            <w:pPr>
              <w:spacing w:line="240" w:lineRule="auto"/>
              <w:jc w:val="center"/>
              <w:rPr>
                <w:szCs w:val="28"/>
              </w:rPr>
            </w:pPr>
            <w:r>
              <w:t xml:space="preserve">32</w:t>
            </w:r>
          </w:p>
        </w:tc>
        <w:tc>
          <w:tcPr>
            <w:tcW w:w="1600" w:type="dxa"/>
            <w:tcMar>
              <w:top w:w="60" w:type="dxa"/>
              <w:left w:w="100" w:type="dxa"/>
              <w:bottom w:w="60" w:type="dxa"/>
              <w:right w:w="100" w:type="dxa"/>
            </w:tcMar>
            <w:vAlign w:val="center"/>
          </w:tcPr>
          <w:p>
            <w:pPr>
              <w:spacing w:line="240" w:lineRule="auto"/>
              <w:jc w:val="center"/>
              <w:rPr>
                <w:szCs w:val="28"/>
              </w:rPr>
            </w:pPr>
            <w:r>
              <w:t xml:space="preserve">38</w:t>
            </w:r>
          </w:p>
        </w:tc>
      </w:tr>
    </w:tbl>
    <w:p>
      <w:pPr>
        <w:spacing w:line="360" w:lineRule="auto"/>
        <w:jc w:val="both"/>
        <w:rPr>
          <w:szCs w:val="28"/>
        </w:rPr>
      </w:pPr>
      <w:r>
        <w:t xml:space="preserve">Примечание. Указано число детей. Субклинический гипотиреоз: повышенный ТТГ при нормальном свободном Т4; манифестный: повышенный ТТГ при сниженном свободном Т4.</w:t>
      </w:r>
    </w:p>
    <w:p>
      <w:pPr>
        <w:keepNext/>
        <w:spacing w:line="360" w:lineRule="auto"/>
        <w:jc w:val="both"/>
        <w:rPr>
          <w:szCs w:val="28"/>
        </w:rPr>
      </w:pPr>
      <w:r>
        <w:rPr>
          <w:b/>
          <w:bCs/>
        </w:rPr>
        <w:t xml:space="preserve">Обсуждение</w:t>
      </w:r>
      <w:r>
        <w:t xml:space="preserve">. АТ-GAD и АТ-IAA выявлялись реже, чем в опубликованных когортах. В Дохуке (Ирак) АТ-GAD обнаружены у 47,3% детей [2], а систематический обзор подтверждает, что при расширенной панели хотя бы один островковый маркёр определяется у большинства пациентов [10]. В Азербайджане антитела к GAD65 или IA-2 имели 74% детей с впервые выявленным СД 1 типа [1], в Индии АТ-GAD выявлены у 50-53% [9, 27], в Китае хотя бы одно из пяти островковых антител у 84,4% [30]. В британской когорте аутоантитела реже определялись у пациентов неевропейского происхождения: 73% против 86% [8].</w:t>
      </w:r>
    </w:p>
    <w:p>
      <w:pPr>
        <w:spacing w:line="360" w:lineRule="auto"/>
        <w:jc w:val="both"/>
        <w:rPr>
          <w:szCs w:val="28"/>
        </w:rPr>
      </w:pPr>
      <w:r>
        <w:t xml:space="preserve">Причиной более низкой частоты в нашей группе могли быть характеристики использованных иммуноферментных наборов и ограниченная панель. В межлабораторном исследовании IASP чувствительность наборов для определения АТ-GAD заметно различалась, причём лучшие неизотопные наборы не уступали радиолигандному методу [21]. Для IAA эталонным остаётся радиолигандный метод, а характеристики наборов других форматов сильно различаются [23]. Поэтому частоты, полученные разными наборами, следует сравнивать осторожно. Поскольку ICA и антитела к IA-2 и ZnT8 не определяли, детей с отрицательными АТ-GAD и АТ-IAA (n = 21) нельзя считать полностью серонегативными. Антитела к ZnT8 выявлены у 26% пациентов, отрицательных по GAD, IA-2, IAA и ICA [28]. Детям без аутоантител показано определение С-пептида, а при его сохранной секреции обследование на моногенный диабет [22, 26].</w:t>
      </w:r>
    </w:p>
    <w:p>
      <w:pPr>
        <w:spacing w:line="360" w:lineRule="auto"/>
        <w:jc w:val="both"/>
        <w:rPr>
          <w:szCs w:val="28"/>
        </w:rPr>
      </w:pPr>
      <w:r>
        <w:t xml:space="preserve">Отдельного обсуждения требуют результаты АТ-IAA. Экзогенный инсулин вызывает образование антител к инсулину [11], которые лабораторные методы не отличают от аутоантител. Поэтому IAA определяют до начала инсулинотерапии или не позднее двух недель от её начала; так, в индийском исследовании IAA учитывали только у детей с длительностью диабета не более 2 недель [27]. В нашей работе время взятия крови относительно первой инъекции инсулина не фиксировали, и часть положительных результатов могла отражать ответ на введённый инсулин. Изолированные АТ-IAA были у 2 детей. Если не учитывать АТ-IAA, доля детей хотя бы с одним маркёром снижается с 44,7% до 39,5%. Невысокая частота АТ-IAA согласуется и с возрастом обследованных: IAA чаще определяются у детей младшего возраста [7, 13], а детей до 5 лет в группе не было.</w:t>
      </w:r>
    </w:p>
    <w:p>
      <w:pPr>
        <w:spacing w:line="360" w:lineRule="auto"/>
        <w:jc w:val="both"/>
        <w:rPr>
          <w:szCs w:val="28"/>
        </w:rPr>
      </w:pPr>
      <w:r>
        <w:t xml:space="preserve">АТ-ТПО выявлены у 15,8% детей. Близкая частота (15,7%) получена в сирийской выборке, однако там обследованы пациенты с длительным течением диабета [3]. В Индии у детей с недавно выявленным СД 1 типа АТ-ТПО обнаружены у 18,7% [9]. В шведском исследовании антитела к ТПО или тиреоглобулину при манифестации СД 1 типа выявлены у 12% детей, а клинически значимое нарушение функции щитовидной железы встречалось лишь в 0,45% случаев [17]. В нашей группе манифестный гипотиреоз установлен у 5,3% детей. Свободный Т4 определяли однократно при установлении диагноза, поэтому часть этих случаев может отражать транзиторные изменения.</w:t>
      </w:r>
    </w:p>
    <w:p>
      <w:pPr>
        <w:spacing w:line="360" w:lineRule="auto"/>
        <w:jc w:val="both"/>
        <w:rPr>
          <w:szCs w:val="28"/>
        </w:rPr>
      </w:pPr>
      <w:r>
        <w:t xml:space="preserve">У 3 из 6 детей с АТ-ТПО повышение ТТГ можно связать с аутоиммунным поражением щитовидной железы. Связь АТ-ТПО с повышением ТТГ оказалась статистически значимой (p = 0,039). Это согласуется с данными шведских авторов: АТ-ТПО при манифестации диабета позволяли прогнозировать последующую потребность в левотироксине [18]. Число наблюдений невелико, поэтому эту связь следует подтвердить на большей выборке. У 3 детей ТТГ был повышен при отрицательных АТ-ТПО, в том числе у 1 со сниженным свободным Т4. Это может объясняться антителами к тиреоглобулину, которые не определяли, или транзиторными изменениями на фоне декомпенсации диабета. У детей с кетоацидозом уровни тиреоидных гормонов при поступлении бывают снижены и нормализуются через 10 дней лечения [29]. Поэтому функцию щитовидной железы у детей с повышенным ТТГ следует оценить повторно после стабилизации обмена веществ. Полученные данные согласуются с рекомендацией ISPAD оценивать тиреоидный статус при установлении диагноза СД 1 типа и чаще контролировать ТТГ у детей с тиреоидными аутоантителами [12].</w:t>
      </w:r>
    </w:p>
    <w:p>
      <w:pPr>
        <w:spacing w:line="360" w:lineRule="auto"/>
        <w:jc w:val="both"/>
        <w:rPr>
          <w:szCs w:val="28"/>
        </w:rPr>
      </w:pPr>
      <w:r>
        <w:t xml:space="preserve">Средний HbA1c составил 10,2 ± 1,8%, что сопоставимо со значением 11,33 ± 2,33% в исследовании из Дохука [2]. Без сведений о длительности симптомов и кетоацидозе этот показатель не доказывает позднюю диагностику.</w:t>
      </w:r>
    </w:p>
    <w:p>
      <w:pPr>
        <w:spacing w:line="360" w:lineRule="auto"/>
        <w:jc w:val="both"/>
        <w:rPr>
          <w:szCs w:val="28"/>
        </w:rPr>
      </w:pPr>
      <w:r>
        <w:t xml:space="preserve">Дефицит витамина D выявлен у 23,7% детей. Сравнивать эту долю с другими работами следует осторожно, так как пороговые значения различаются: по рекомендациям Endocrine Society 2011 года дефицитом считают уровень 25(OH)D ниже 20 нг/мл [14], а в глобальном консенсусе по рахиту порог составляет 12 нг/мл (30 нмоль/л) [24].</w:t>
      </w:r>
    </w:p>
    <w:p>
      <w:pPr>
        <w:spacing w:line="360" w:lineRule="auto"/>
        <w:jc w:val="both"/>
        <w:rPr>
          <w:szCs w:val="28"/>
        </w:rPr>
      </w:pPr>
      <w:r>
        <w:t xml:space="preserve">Ограничения исследования. Исследование выполнено в одном центре на небольшой выборке, поэтому его результаты нельзя распространять на всех детей с СД 1 типа в Узбекистане. Пациентов набирали в два периода (2021-2022 и 2025-2026 годы). За это время могли измениться состав госпитализированных детей и партии диагностических наборов, а число пациентов в каждом периоде слишком мало для их отдельного сравнения. Контрольной группы не было. Панель островковых аутоантител была неполной: ICA и антитела к IA-2 и ZnT8 не определяли. С-пептид и генетическое обследование не проводили, поэтому моногенный диабет исключали только клинически. Время взятия крови относительно начала инсулинотерапии не фиксировали, что затрудняет интерпретацию АТ-IAA. Дети с ранее известными заболеваниями щитовидной железы не включались, что могло занизить частоту тиреоидной патологии. Аутоиммунный тиреоидит не верифицировали, а функцию щитовидной железы оценивали однократно при установлении диагноза.</w:t>
      </w:r>
    </w:p>
    <w:p>
      <w:pPr>
        <w:keepNext/>
        <w:spacing w:line="360" w:lineRule="auto"/>
        <w:jc w:val="both"/>
        <w:rPr>
          <w:szCs w:val="28"/>
        </w:rPr>
      </w:pPr>
      <w:r>
        <w:rPr>
          <w:b/>
          <w:bCs/>
        </w:rPr>
        <w:t xml:space="preserve">Выводы</w:t>
      </w:r>
      <w:r>
        <w:t xml:space="preserve">. АТ-GAD выявлены у 39,5% детей, АТ-IAA у 13,2%, хотя бы одно из двух антител у 44,7%. Невысокая частота может быть связана с особенностями наборов и неполной панелью маркёров. Данные получены в одном центре и не характеризуют всю детскую популяцию страны.</w:t>
      </w:r>
    </w:p>
    <w:p>
      <w:pPr>
        <w:spacing w:line="360" w:lineRule="auto"/>
        <w:jc w:val="both"/>
        <w:rPr>
          <w:szCs w:val="28"/>
        </w:rPr>
      </w:pPr>
      <w:r>
        <w:t xml:space="preserve">АТ-ТПО выявлены у 15,8% детей, повышение ТТГ также у 15,8%. При наличии АТ-ТПО повышенный ТТГ встречался чаще: 50,0% против 9,4% (p = 0,039). Однократное исследование выявило повышение ТТГ при сниженном свободном Т4 у 5,3% детей. Необходимы оценка тиреоидного статуса при установлении диагноза и многоцентровые исследования с расширенной панелью аутоантител и взятием крови до начала инсулинотерапии.</w:t>
      </w:r>
    </w:p>
    <w:p w14:paraId="5B27C931" w14:textId="77777777" w:rsidR="004E3FBE" w:rsidRPr="00605426" w:rsidRDefault="004E3FBE" w:rsidP="004E3FBE">
      <w:pPr>
        <w:keepNext/>
        <w:spacing w:line="360" w:lineRule="auto"/>
        <w:rPr>
          <w:szCs w:val="28"/>
        </w:rPr>
      </w:pPr>
      <w:r>
        <w:rPr>
          <w:b/>
          <w:bCs/>
          <w:szCs w:val="24"/>
        </w:rPr>
        <w:t>Литература</w:t>
      </w:r>
    </w:p>
    <w:p>
      <w:pPr>
        <w:keepLines/>
        <w:spacing w:line="360" w:lineRule="auto"/>
        <w:ind w:left="340" w:hanging="340"/>
        <w:jc w:val="both"/>
        <w:rPr>
          <w:szCs w:val="28"/>
        </w:rPr>
      </w:pPr>
      <w:r>
        <w:t xml:space="preserve">1. Ahmadov GA, Govender D, Atkinson MA, et al. Epidemiology of childhood-onset type 1 diabetes in Azerbaijan: incidence, clinical features, biochemistry, and HLA-DRB1 status. Diabetes Res Clin Pract. 2018;144:252-259. doi:10.1016/j.diabres.2018.09.009</w:t>
      </w:r>
    </w:p>
    <w:p>
      <w:pPr>
        <w:keepLines/>
        <w:spacing w:line="360" w:lineRule="auto"/>
        <w:ind w:left="340" w:hanging="340"/>
        <w:jc w:val="both"/>
        <w:rPr>
          <w:szCs w:val="28"/>
        </w:rPr>
      </w:pPr>
      <w:r>
        <w:t xml:space="preserve">2. Ahmed IH, Armishty FS, Saleh AS, et al. The prevalence of anti-GAD65 autoantibodies in children recently diagnosed with type 1 diabetes in Duhok City. Pediatr Endocrinol Diabetes Metab. 2025;31(3):83-88. doi:10.5114/pedm.2025.155110</w:t>
      </w:r>
    </w:p>
    <w:p>
      <w:pPr>
        <w:keepLines/>
        <w:spacing w:line="360" w:lineRule="auto"/>
        <w:ind w:left="340" w:hanging="340"/>
        <w:jc w:val="both"/>
        <w:rPr>
          <w:szCs w:val="28"/>
        </w:rPr>
      </w:pPr>
      <w:r>
        <w:t xml:space="preserve">3. Alhaj Hazzaa A, Alsultan M, Kabalan Y, Alourfi Z. Autoimmune thyroid disease in patients with type 1 diabetes mellitus: a cross-sectional study from Syria. Medicine (Baltimore). 2024;103(4):e36107. doi:10.1097/MD.0000000000036107</w:t>
      </w:r>
    </w:p>
    <w:p>
      <w:pPr>
        <w:keepLines/>
        <w:spacing w:line="360" w:lineRule="auto"/>
        <w:ind w:left="340" w:hanging="340"/>
        <w:jc w:val="both"/>
        <w:rPr>
          <w:szCs w:val="28"/>
        </w:rPr>
      </w:pPr>
      <w:r>
        <w:t xml:space="preserve">4. Alimov AV, Alimova NU, Alieva AV, et al. Comparative analysis of key epidemiological indicators of type 1 diabetes in children and adolescents in Uzbekistan from 2000 to 2024. Advances in Health Sciences Research. 2025;91:112-122. doi:10.2991/978-94-6463-984-1_12</w:t>
      </w:r>
    </w:p>
    <w:p>
      <w:pPr>
        <w:keepLines/>
        <w:spacing w:line="360" w:lineRule="auto"/>
        <w:ind w:left="340" w:hanging="340"/>
        <w:jc w:val="both"/>
        <w:rPr>
          <w:szCs w:val="28"/>
        </w:rPr>
      </w:pPr>
      <w:r>
        <w:t xml:space="preserve">5. American Diabetes Association Professional Practice Committee. 2. Diagnosis and classification of diabetes: Standards of Care in Diabetes-2025. Diabetes Care. 2025;48(Suppl 1):S27-S49. doi:10.2337/dc25-S002</w:t>
      </w:r>
    </w:p>
    <w:p>
      <w:pPr>
        <w:keepLines/>
        <w:spacing w:line="360" w:lineRule="auto"/>
        <w:ind w:left="340" w:hanging="340"/>
        <w:jc w:val="both"/>
        <w:rPr>
          <w:szCs w:val="28"/>
        </w:rPr>
      </w:pPr>
      <w:r>
        <w:t xml:space="preserve">6. Besser REJ, Bell KJ, Couper JJ, et al. ISPAD Clinical Practice Consensus Guidelines 2022: Stages of type 1 diabetes in children and adolescents. Pediatr Diabetes. 2022;23(8):1175-1187. doi:10.1111/pedi.13410</w:t>
      </w:r>
    </w:p>
    <w:p>
      <w:pPr>
        <w:keepLines/>
        <w:spacing w:line="360" w:lineRule="auto"/>
        <w:ind w:left="340" w:hanging="340"/>
        <w:jc w:val="both"/>
        <w:rPr>
          <w:szCs w:val="28"/>
        </w:rPr>
      </w:pPr>
      <w:r>
        <w:t xml:space="preserve">7. Bonifacio E, Achenbach P. Birth and coming of age of islet autoantibodies. Clin Exp Immunol. 2019;198(3):294-305. doi:10.1111/cei.13360</w:t>
      </w:r>
    </w:p>
    <w:p>
      <w:pPr>
        <w:keepLines/>
        <w:spacing w:line="360" w:lineRule="auto"/>
        <w:ind w:left="340" w:hanging="340"/>
        <w:jc w:val="both"/>
        <w:rPr>
          <w:szCs w:val="28"/>
        </w:rPr>
      </w:pPr>
      <w:r>
        <w:t xml:space="preserve">8. Bravis V, Kaur A, Walkey HC, et al. Relationship between islet autoantibody status and the clinical characteristics of children and adults with incident type 1 diabetes in a UK cohort. BMJ Open. 2018;8(4):e020904. doi:10.1136/bmjopen-2017-020904</w:t>
      </w:r>
    </w:p>
    <w:p>
      <w:pPr>
        <w:keepLines/>
        <w:spacing w:line="360" w:lineRule="auto"/>
        <w:ind w:left="340" w:hanging="340"/>
        <w:jc w:val="both"/>
        <w:rPr>
          <w:szCs w:val="28"/>
        </w:rPr>
      </w:pPr>
      <w:r>
        <w:t xml:space="preserve">9. Dayal D, Samprati M, Kaur N, et al. Prevalence of beta-cell, thyroid and celiac autoimmunity in North Indian children with recent onset type 1 diabetes (T1D). J Clin Diagn Res. 2015;9(3):SM01-SM02. doi:10.7860/JCDR/2015/11960.5711</w:t>
      </w:r>
    </w:p>
    <w:p>
      <w:pPr>
        <w:keepLines/>
        <w:spacing w:line="360" w:lineRule="auto"/>
        <w:ind w:left="340" w:hanging="340"/>
        <w:jc w:val="both"/>
        <w:rPr>
          <w:szCs w:val="28"/>
        </w:rPr>
      </w:pPr>
      <w:r>
        <w:t xml:space="preserve">10. Felton JL, Redondo MJ, Oram RA, et al. Islet autoantibodies as precision diagnostic tools to characterize heterogeneity in type 1 diabetes: a systematic review. Commun Med. 2024;4:66. doi:10.1038/s43856-024-00478-y</w:t>
      </w:r>
    </w:p>
    <w:p>
      <w:pPr>
        <w:keepLines/>
        <w:spacing w:line="360" w:lineRule="auto"/>
        <w:ind w:left="340" w:hanging="340"/>
        <w:jc w:val="both"/>
        <w:rPr>
          <w:szCs w:val="28"/>
        </w:rPr>
      </w:pPr>
      <w:r>
        <w:t xml:space="preserve">11. Fineberg SE, Kawabata TT, Finco-Kent D, et al. Immunological responses to exogenous insulin. Endocr Rev. 2007;28(6):625-652. doi:10.1210/er.2007-0002</w:t>
      </w:r>
    </w:p>
    <w:p>
      <w:pPr>
        <w:keepLines/>
        <w:spacing w:line="360" w:lineRule="auto"/>
        <w:ind w:left="340" w:hanging="340"/>
        <w:jc w:val="both"/>
        <w:rPr>
          <w:szCs w:val="28"/>
        </w:rPr>
      </w:pPr>
      <w:r>
        <w:t xml:space="preserve">12. Fröhlich-Reiterer E, Elbarbary NS, Simmons K, et al. ISPAD Clinical Practice Consensus Guidelines 2022: Other complications and associated conditions in children and adolescents with type 1 diabetes. Pediatr Diabetes. 2022;23(8):1451-1467. doi:10.1111/pedi.13445</w:t>
      </w:r>
    </w:p>
    <w:p>
      <w:pPr>
        <w:keepLines/>
        <w:spacing w:line="360" w:lineRule="auto"/>
        <w:ind w:left="340" w:hanging="340"/>
        <w:jc w:val="both"/>
        <w:rPr>
          <w:szCs w:val="28"/>
        </w:rPr>
      </w:pPr>
      <w:r>
        <w:t xml:space="preserve">13. Gupta EA, Huang X, Velasquez HJ, et al. Age and sex mark clinical differences in the presentation of pediatric type 1 diabetes mellitus. J Pediatr Endocrinol Metab. 2025;38(1):22-28. doi:10.1515/jpem-2024-0451</w:t>
      </w:r>
    </w:p>
    <w:p>
      <w:pPr>
        <w:keepLines/>
        <w:spacing w:line="360" w:lineRule="auto"/>
        <w:ind w:left="340" w:hanging="340"/>
        <w:jc w:val="both"/>
        <w:rPr>
          <w:szCs w:val="28"/>
        </w:rPr>
      </w:pPr>
      <w:r>
        <w:t xml:space="preserve">14. Holick MF, Binkley NC, Bischoff-Ferrari HA, et al. Evaluation, treatment, and prevention of vitamin D deficiency: an Endocrine Society clinical practice guideline. J Clin Endocrinol Metab. 2011;96(7):1911-1930. doi:10.1210/jc.2011-0385</w:t>
      </w:r>
    </w:p>
    <w:p>
      <w:pPr>
        <w:keepLines/>
        <w:spacing w:line="360" w:lineRule="auto"/>
        <w:ind w:left="340" w:hanging="340"/>
        <w:jc w:val="both"/>
        <w:rPr>
          <w:szCs w:val="28"/>
        </w:rPr>
      </w:pPr>
      <w:r>
        <w:t xml:space="preserve">15. Hughes JW, Riddlesworth TD, DiMeglio LA, et al. Autoimmune diseases in children and adults with type 1 diabetes from the T1D Exchange clinic registry. J Clin Endocrinol Metab. 2016;101(12):4931-4937. doi:10.1210/jc.2016-2478</w:t>
      </w:r>
    </w:p>
    <w:p>
      <w:pPr>
        <w:keepLines/>
        <w:spacing w:line="360" w:lineRule="auto"/>
        <w:ind w:left="340" w:hanging="340"/>
        <w:jc w:val="both"/>
        <w:rPr>
          <w:szCs w:val="28"/>
        </w:rPr>
      </w:pPr>
      <w:r>
        <w:t xml:space="preserve">16. Insel RA, Dunne JL, Atkinson MA, et al. Staging presymptomatic type 1 diabetes: a scientific statement of JDRF, the Endocrine Society, and the American Diabetes Association. Diabetes Care. 2015;38(10):1964-1974. doi:10.2337/dc15-1419</w:t>
      </w:r>
    </w:p>
    <w:p>
      <w:pPr>
        <w:keepLines/>
        <w:spacing w:line="360" w:lineRule="auto"/>
        <w:ind w:left="340" w:hanging="340"/>
        <w:jc w:val="both"/>
        <w:rPr>
          <w:szCs w:val="28"/>
        </w:rPr>
      </w:pPr>
      <w:r>
        <w:t xml:space="preserve">17. Jonsdottir B, Andersson C, Carlsson A, et al. Thyroid autoimmunity in relation to islet autoantibodies and HLA-DQ genotype in newly diagnosed type 1 diabetes in children and adolescents. Diabetologia. 2013;56(8):1735-1742. doi:10.1007/s00125-013-2934-9</w:t>
      </w:r>
    </w:p>
    <w:p>
      <w:pPr>
        <w:keepLines/>
        <w:spacing w:line="360" w:lineRule="auto"/>
        <w:ind w:left="340" w:hanging="340"/>
        <w:jc w:val="both"/>
        <w:rPr>
          <w:szCs w:val="28"/>
        </w:rPr>
      </w:pPr>
      <w:r>
        <w:t xml:space="preserve">18. Jonsdottir B, Larsson C, Carlsson A, et al. Thyroid and islet autoantibodies predict autoimmune thyroid disease at type 1 diabetes diagnosis. J Clin Endocrinol Metab. 2017;102(4):1277-1285. doi:10.1210/jc.2016-2335</w:t>
      </w:r>
    </w:p>
    <w:p>
      <w:pPr>
        <w:keepLines/>
        <w:spacing w:line="360" w:lineRule="auto"/>
        <w:ind w:left="340" w:hanging="340"/>
        <w:jc w:val="both"/>
        <w:rPr>
          <w:szCs w:val="28"/>
        </w:rPr>
      </w:pPr>
      <w:r>
        <w:t xml:space="preserve">19. Kakleas K, Soldatou A, Karachaliou F, Karavanaki K. Associated autoimmune diseases in children and adolescents with type 1 diabetes mellitus (T1DM). Autoimmun Rev. 2015;14(9):781-797. doi:10.1016/j.autrev.2015.05.002</w:t>
      </w:r>
    </w:p>
    <w:p>
      <w:pPr>
        <w:keepLines/>
        <w:spacing w:line="360" w:lineRule="auto"/>
        <w:ind w:left="340" w:hanging="340"/>
        <w:jc w:val="both"/>
        <w:rPr>
          <w:szCs w:val="28"/>
        </w:rPr>
      </w:pPr>
      <w:r>
        <w:t xml:space="preserve">20. Korneva KG, Strongin LG, Kolbasina EV, et al. Diagnostic capabilities of islet autoantibodies in children with new-onset type 1 diabetes mellitus and healthy siblings. Sovrem Tekhnologii Med. 2020;12(6):29-34. doi:10.17691/stm2020.12.6.04</w:t>
      </w:r>
    </w:p>
    <w:p>
      <w:pPr>
        <w:keepLines/>
        <w:spacing w:line="360" w:lineRule="auto"/>
        <w:ind w:left="340" w:hanging="340"/>
        <w:jc w:val="both"/>
        <w:rPr>
          <w:szCs w:val="28"/>
        </w:rPr>
      </w:pPr>
      <w:r>
        <w:t xml:space="preserve">21. Lampasona V, Pittman DL, Williams AJ, et al. Islet Autoantibody Standardization Program 2018 Workshop: interlaboratory comparison of GAD autoantibody assay performance. Clin Chem. 2019;65(9):1141-1152. doi:10.1373/clinchem.2019.304196</w:t>
      </w:r>
    </w:p>
    <w:p>
      <w:pPr>
        <w:keepLines/>
        <w:spacing w:line="360" w:lineRule="auto"/>
        <w:ind w:left="340" w:hanging="340"/>
        <w:jc w:val="both"/>
        <w:rPr>
          <w:szCs w:val="28"/>
        </w:rPr>
      </w:pPr>
      <w:r>
        <w:t xml:space="preserve">22. Libman I, Haynes A, Lyons S, et al. ISPAD Clinical Practice Consensus Guidelines 2022: Definition, epidemiology, and classification of diabetes in children and adolescents. Pediatr Diabetes. 2022;23(8):1160-1174. doi:10.1111/pedi.13454</w:t>
      </w:r>
    </w:p>
    <w:p>
      <w:pPr>
        <w:keepLines/>
        <w:spacing w:line="360" w:lineRule="auto"/>
        <w:ind w:left="340" w:hanging="340"/>
        <w:jc w:val="both"/>
        <w:rPr>
          <w:szCs w:val="28"/>
        </w:rPr>
      </w:pPr>
      <w:r>
        <w:t xml:space="preserve">23. Marzinotto I, Pittman DL, Williams AJK, et al. Islet Autoantibody Standardization Program: interlaboratory comparison of insulin autoantibody assay performance in 2018 and 2020 workshops. Diabetologia. 2023;66(5):897-912. doi:10.1007/s00125-023-05877-9</w:t>
      </w:r>
    </w:p>
    <w:p>
      <w:pPr>
        <w:keepLines/>
        <w:spacing w:line="360" w:lineRule="auto"/>
        <w:ind w:left="340" w:hanging="340"/>
        <w:jc w:val="both"/>
        <w:rPr>
          <w:szCs w:val="28"/>
        </w:rPr>
      </w:pPr>
      <w:r>
        <w:t xml:space="preserve">24. Munns CF, Shaw N, Kiely M, et al. Global consensus recommendations on prevention and management of nutritional rickets. J Clin Endocrinol Metab. 2016;101(2):394-415. doi:10.1210/jc.2015-2175</w:t>
      </w:r>
    </w:p>
    <w:p>
      <w:pPr>
        <w:keepLines/>
        <w:spacing w:line="360" w:lineRule="auto"/>
        <w:ind w:left="340" w:hanging="340"/>
        <w:jc w:val="both"/>
        <w:rPr>
          <w:szCs w:val="28"/>
        </w:rPr>
      </w:pPr>
      <w:r>
        <w:t xml:space="preserve">25. Nederstigt C, Uitbeijerse BS, Janssen LGM, et al. Associated auto-immune disease in type 1 diabetes patients: a systematic review and meta-analysis. Eur J Endocrinol. 2019;180(2):135-144. doi:10.1530/EJE-18-0515</w:t>
      </w:r>
    </w:p>
    <w:p>
      <w:pPr>
        <w:keepLines/>
        <w:spacing w:line="360" w:lineRule="auto"/>
        <w:ind w:left="340" w:hanging="340"/>
        <w:jc w:val="both"/>
        <w:rPr>
          <w:szCs w:val="28"/>
        </w:rPr>
      </w:pPr>
      <w:r>
        <w:t xml:space="preserve">26. Shepherd M, Shields B, Hammersley S, et al. Systematic population screening, using biomarkers and genetic testing, identifies 2.5% of the U.K. pediatric diabetes population with monogenic diabetes. Diabetes Care. 2016;39(11):1879-1888. doi:10.2337/dc16-0645</w:t>
      </w:r>
    </w:p>
    <w:p>
      <w:pPr>
        <w:keepLines/>
        <w:spacing w:line="360" w:lineRule="auto"/>
        <w:ind w:left="340" w:hanging="340"/>
        <w:jc w:val="both"/>
        <w:rPr>
          <w:szCs w:val="28"/>
        </w:rPr>
      </w:pPr>
      <w:r>
        <w:t xml:space="preserve">27. Vipin VP, Zaidi G, Watson K, et al. High prevalence of idiopathic (islet antibody-negative) type 1 diabetes among Indian children and adolescents. Pediatr Diabetes. 2021;22(1):47-51. doi:10.1111/pedi.13066</w:t>
      </w:r>
    </w:p>
    <w:p>
      <w:pPr>
        <w:keepLines/>
        <w:spacing w:line="360" w:lineRule="auto"/>
        <w:ind w:left="340" w:hanging="340"/>
        <w:jc w:val="both"/>
        <w:rPr>
          <w:szCs w:val="28"/>
        </w:rPr>
      </w:pPr>
      <w:r>
        <w:t xml:space="preserve">28. Wenzlau JM, Juhl K, Yu L, et al. The cation efflux transporter ZnT8 (Slc30A8) is a major autoantigen in human type 1 diabetes. Proc Natl Acad Sci U S A. 2007;104(43):17040-17045. doi:10.1073/pnas.0705894104</w:t>
      </w:r>
    </w:p>
    <w:p>
      <w:pPr>
        <w:keepLines/>
        <w:spacing w:line="360" w:lineRule="auto"/>
        <w:ind w:left="340" w:hanging="340"/>
        <w:jc w:val="both"/>
        <w:rPr>
          <w:szCs w:val="28"/>
        </w:rPr>
      </w:pPr>
      <w:r>
        <w:t xml:space="preserve">29. Yang W, Sheng F. Factors associated with thyroid dysfunction in children with newly diagnosed type 1 diabetes mellitus. Minerva Pediatr (Torino). 2021;73(4):324-329. doi:10.23736/S2724-5276.19.05484-7</w:t>
      </w:r>
    </w:p>
    <w:p>
      <w:pPr>
        <w:keepLines/>
        <w:spacing w:line="360" w:lineRule="auto"/>
        <w:ind w:left="340" w:hanging="340"/>
        <w:jc w:val="both"/>
        <w:rPr>
          <w:szCs w:val="28"/>
        </w:rPr>
      </w:pPr>
      <w:r>
        <w:t xml:space="preserve">30. Zhu Y, Yang H, Hu C, et al. Thyroid autoimmunity in relation to islet autoantibodies in newly diagnosed type 1 diabetes mellitus in children and adolescents. Front Endocrinol (Lausanne). 2026;17:1822960. doi:10.3389/fendo.2026.1822960</w:t>
      </w:r>
    </w:p>
    <w:p>
      <w:pPr>
        <w:keepLines/>
        <w:spacing w:line="360" w:lineRule="auto"/>
        <w:ind w:left="340" w:hanging="340"/>
        <w:jc w:val="both"/>
        <w:rPr>
          <w:szCs w:val="28"/>
        </w:rPr>
      </w:pPr>
      <w:r>
        <w:t xml:space="preserve">31. Ziegler AG, Rewers M, Simell O, et al. Seroconversion to multiple islet autoantibodies and risk of progression to diabetes in children. JAMA. 2013;309(23):2473-2479. doi:10.1001/jama.2013.6285</w:t>
      </w:r>
    </w:p>
    <w:p w14:paraId="704BE906" w14:textId="77777777" w:rsidR="00BF2960" w:rsidRDefault="00BF2960"/>
    <w:sectPr w:rsidR="00BF2960" w:rsidSect="00BB0623">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BE"/>
    <w:rsid w:val="00196D17"/>
    <w:rsid w:val="00285E0A"/>
    <w:rsid w:val="004E3FBE"/>
    <w:rsid w:val="005118DD"/>
    <w:rsid w:val="00A11A5D"/>
    <w:rsid w:val="00BF2960"/>
    <w:rsid w:val="00CD3D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8F3CE"/>
  <w15:chartTrackingRefBased/>
  <w15:docId w15:val="{50553A0A-F2F2-499A-A5A9-B5036FB23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z-Latn-U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3FBE"/>
    <w:pPr>
      <w:spacing w:after="0" w:line="240" w:lineRule="auto"/>
    </w:pPr>
    <w:rPr>
      <w:rFonts w:ascii="Times New Roman" w:eastAsia="Times New Roman" w:hAnsi="Times New Roman" w:cs="Times New Roman"/>
      <w:color w:val="000000"/>
      <w:sz w:val="28"/>
      <w:szCs w:val="20"/>
      <w:lang w:eastAsia="uz-Latn-U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1712</Words>
  <Characters>9759</Characters>
  <Application>Microsoft Office Word</Application>
  <DocSecurity>0</DocSecurity>
  <Lines>81</Lines>
  <Paragraphs>22</Paragraphs>
  <ScaleCrop>false</ScaleCrop>
  <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Odina Siddikova</dc:creator>
  <cp:keywords/>
  <dc:description/>
  <cp:lastModifiedBy>Odina Siddikova</cp:lastModifiedBy>
  <cp:revision>1</cp:revision>
  <dcterms:created xsi:type="dcterms:W3CDTF">2026-10-07T16:20:00Z</dcterms:created>
  <dcterms:modified xsi:type="dcterms:W3CDTF">2026-10-07T16:21:00Z</dcterms:modified>
</cp:coreProperties>
</file>