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 НА ЗАМЕЧАНИЯ РЕЦЕНЗЕНТА</w:t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статье «Частота выявления аутоантител к GAD65, инсулину и тиреопероксидазе у детей с впервые выявленным сахарным диабетом 1 типа: одноцентровое исследование»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Благодарим рецензента за внимательное прочтение рукописи и ценные замечания. Все замечания учтены, исправления внесены в текст статьи.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1.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Исследование является одноцентровым и включает всего 38 детей, поэтому название «…у детей с впервые выявленным сахарным диабетом 1 типа в Узбекистане» представляется слишком широким.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Согласны. Указание на Узбекистан из названия убрано, название дополнено словами «одноцентровое исследование» на русском, узбекском и английском языках. Одноцентровой характер работы отражён также в аннотациях, в разделе «Материал и методы» (приведено полное название центра), в ограничениях и выводах. В выводах прямо сказано, что данные получены в одном центре и не характеризуют всю детскую популяцию страны.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2.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Имеется несоответствие сроков набора пациентов.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Ошибка в аннотациях исправлена. Во всех трёх аннотациях и в разделе «Материал и методы» указаны оба периода: 2021-2022 и 2025-2026 годы.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3.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Не приведены критерии включения и исключения пациентов, а также диагностические критерии впервые выявленного СД 1 типа.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раздел «Материал и методы» добавлены диагностические критерии СД 1 типа по ISPAD 2022, определение впервые выявленного диабета, критерии включения и исключения. Отдельно указано, что наличие островковых аутоантител не было обязательным условием включения, а моногенный диабет исключали клинически.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4.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Определение антител к инсулину (IAA) без фиксации времени забора крови относительно начала инсулинотерапии.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Согласны, это существенное ограничение. Время взятия крови относительно первой инъекции инсулина в протоколе не фиксировалось, и мы прямо указали это в разделе «Материал и методы». В «Обсуждение» добавлен абзац о том, что экзогенный инсулин вызывает образование антител, неотличимых от аутоантител, и о принятых сроках определения IAA. Приведён расчёт без учёта IAA: изолированные АТ-IAA были у 2 детей, и доля детей хотя бы с одним маркёром снижается с 44,7% до 39,5%. Ограничение отражено в аннотациях, разделе ограничений и выводах.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5.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АТ-ТПО выявлены у 6 пациентов и повышение ТТГ также у 6 пациентов, однако неизвестно, совпадают ли эти группы.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Выполнено индивидуальное сопоставление. Добавлена табл. 2, в которой функция щитовидной железы (норма, субклинический и манифестный гипотиреоз) показана отдельно для детей с АТ-ТПО и без них. Из 6 детей с АТ-ТПО повышенный ТТГ имели 3 (субклинический гипотиреоз 2, манифестный 1). У 3 детей ТТГ был повышен при отрицательных АТ-ТПО (субклинический гипотиреоз 2, манифестный 1). Повышенный ТТГ чаще встречался при наличии АТ-ТПО: 50,0% против 9,4% (p = 0,039, точный критерий Фишера). Результаты внесены в разделы «Результаты», «Обсуждение», в выводы и аннотации. Прежняя фраза о невозможности сопоставления удалена.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6.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Не указаны возрастные референсные интервалы для ТТГ и свободного Т4, а также критерий дефицита витамина D.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раздел «Материал и методы» добавлены педиатрические референсные интервалы лаборатории: ТТГ 0,7-5,7 мМЕ/л, свободный Т4 10-22 пмоль/л. Уточнены определения субклинического и манифестного гипотиреоза. Дефицитом витамина D считали концентрацию 25(OH)D ниже 20 нг/мл (50 нмоль/л) по рекомендациям Endocrine Society. В обсуждении отмечено, что в глобальном консенсусе по рахиту принят другой порог (12 нг/мл), и сравнение с другими работами следует проводить с учётом этого.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7.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статье отсутствуют сведения об одобрении исследования локальным этическим комитетом и об информированном согласии.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Добавлены сведения об одобрении исследования локальным этическим комитетом РСНПМЦЭ (протокол №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</w:rPr>
        <w:t xml:space="preserve">__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от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</w:rPr>
        <w:t xml:space="preserve">__.__.____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 и о письменном информированном согласии родителей или законных представителей всех детей.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8.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Выборка небольшая, а набор проводился в два раздельных временных периода. Это должно быть более чётко отражено в разделе ограничений.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Раздел «Ограничения исследования» переработан. Указано, что результаты одного центра нельзя распространять на всех детей с СД 1 типа в Узбекистане. Описано возможное влияние набора в два периода (изменение состава госпитализированных детей и серий диагностических наборов) и то, что число пациентов в каждом периоде слишком мало для их раздельного сравнения. Добавлены также клиническое исключение моногенного диабета без определения С-пептида, невключение детей с ранее известной патологией щитовидной железы и однократная оценка её функции при установлении диагноза.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9.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списке литературы приведено только 6 источников. Необходимо значительно расширить литературный обзор.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Список литературы расширен с 6 до 31 источника, 23 из них опубликованы в 2016-2026 годах. Добавлены работы по островковым аутоантителам и стадиям СД 1 типа (ISPAD 2022, ADA 2025, JDRF, проспективные когорты), по стандартизации определения АТ-GAD и IAA (программа IASP), региональные данные (Россия, Азербайджан, Индия, Китай), работы по аутоиммунной патологии щитовидной железы при СД 1 типа (метаанализ, регистр T1D Exchange, шведская когорта) и по транзиторным изменениям тиреоидной функции при декомпенсации диабета. С учётом этих данных переработаны введение и обсуждение.</w:t>
      </w:r>
    </w:p>
    <w:p>
      <w:pPr>
        <w:spacing w:after="24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Кроме того, аннотации на трёх языках приведены в соответствие друг другу: в русскую и английскую аннотации добавлены данные о витамине D и HbA1c, которые ранее были только в узбекской. Исправлены отдельные стилистические неточности.</w:t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уважением, авторы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2026-10-07T20:03:16.327Z</dcterms:created>
  <dcterms:modified xsi:type="dcterms:W3CDTF">2026-10-07T20:03:16.336Z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