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D0" w:rsidRPr="004F03D9" w:rsidRDefault="00B67ED0" w:rsidP="00B67ED0">
      <w:pPr>
        <w:pStyle w:val="Title"/>
        <w:rPr>
          <w:rFonts w:cs="Times New Roman"/>
        </w:rPr>
      </w:pPr>
      <w:bookmarkStart w:id="0" w:name="_GoBack"/>
      <w:bookmarkEnd w:id="0"/>
      <w:r w:rsidRPr="004F03D9">
        <w:rPr>
          <w:rFonts w:cs="Times New Roman"/>
        </w:rPr>
        <w:t>Lecture Notes</w:t>
      </w:r>
    </w:p>
    <w:p w:rsidR="00B67ED0" w:rsidRPr="004F03D9" w:rsidRDefault="00B67ED0" w:rsidP="00B67ED0">
      <w:pPr>
        <w:pStyle w:val="Heading1"/>
        <w:rPr>
          <w:rFonts w:cs="Times New Roman"/>
        </w:rPr>
      </w:pPr>
      <w:r w:rsidRPr="004F03D9">
        <w:rPr>
          <w:rFonts w:cs="Times New Roman"/>
        </w:rPr>
        <w:t>Chapter 11: Analysis Of Variance</w:t>
      </w:r>
    </w:p>
    <w:p w:rsidR="00B67ED0" w:rsidRPr="00064D15" w:rsidRDefault="00B67ED0" w:rsidP="00B67ED0">
      <w:pPr>
        <w:pStyle w:val="Heading2"/>
        <w:rPr>
          <w:rFonts w:cs="Times New Roman"/>
          <w:color w:val="2E74B5" w:themeColor="accent1" w:themeShade="BF"/>
          <w:sz w:val="24"/>
          <w:szCs w:val="24"/>
        </w:rPr>
      </w:pPr>
      <w:r w:rsidRPr="00064D15">
        <w:rPr>
          <w:rFonts w:cs="Times New Roman"/>
          <w:color w:val="2E74B5" w:themeColor="accent1" w:themeShade="BF"/>
          <w:sz w:val="24"/>
          <w:szCs w:val="24"/>
        </w:rPr>
        <w:t>Learning Objectives</w:t>
      </w:r>
    </w:p>
    <w:p w:rsidR="00B67ED0" w:rsidRPr="0067282A" w:rsidRDefault="00B67ED0" w:rsidP="00B67ED0">
      <w:pPr>
        <w:pStyle w:val="ListParagraph"/>
        <w:ind w:left="915"/>
      </w:pPr>
      <w:r w:rsidRPr="0067282A">
        <w:rPr>
          <w:rFonts w:eastAsia="CaeciliaLTStd-Roman"/>
        </w:rPr>
        <w:t>11.1</w:t>
      </w:r>
      <w:r w:rsidRPr="0067282A">
        <w:rPr>
          <w:rFonts w:eastAsia="CaeciliaLTStd-Roman"/>
        </w:rPr>
        <w:tab/>
        <w:t>Explain the application of a one-way analysis of variance (ANOVA) model.</w:t>
      </w:r>
    </w:p>
    <w:p w:rsidR="00B67ED0" w:rsidRPr="00456EF7" w:rsidRDefault="00B67ED0" w:rsidP="00B67ED0">
      <w:pPr>
        <w:pStyle w:val="ListParagraph"/>
        <w:ind w:left="915"/>
      </w:pPr>
      <w:r w:rsidRPr="0067282A">
        <w:rPr>
          <w:rFonts w:eastAsia="CaeciliaLTStd-Roman"/>
        </w:rPr>
        <w:t>11.2</w:t>
      </w:r>
      <w:r w:rsidRPr="0067282A">
        <w:rPr>
          <w:rFonts w:eastAsia="CaeciliaLTStd-Roman"/>
        </w:rPr>
        <w:tab/>
      </w:r>
      <w:r w:rsidRPr="00456EF7">
        <w:rPr>
          <w:rFonts w:eastAsia="CaeciliaLTStd-Roman"/>
        </w:rPr>
        <w:t>Define the concepts of between and within total variance.</w:t>
      </w:r>
    </w:p>
    <w:p w:rsidR="00B67ED0" w:rsidRPr="005A75EB" w:rsidRDefault="00B67ED0" w:rsidP="00B67ED0">
      <w:pPr>
        <w:pStyle w:val="ListParagraph"/>
        <w:ind w:left="915"/>
      </w:pPr>
      <w:r w:rsidRPr="000F1B7C">
        <w:rPr>
          <w:rFonts w:eastAsia="CaeciliaLTStd-Roman"/>
        </w:rPr>
        <w:t>11.3</w:t>
      </w:r>
      <w:r w:rsidRPr="000F1B7C">
        <w:rPr>
          <w:rFonts w:eastAsia="CaeciliaLTStd-Roman"/>
        </w:rPr>
        <w:tab/>
      </w:r>
      <w:r w:rsidRPr="00460FB3">
        <w:rPr>
          <w:rFonts w:eastAsia="CaeciliaLTStd-Roman"/>
        </w:rPr>
        <w:t>Calculate and interpret a test for two</w:t>
      </w:r>
      <w:r w:rsidRPr="005A75EB">
        <w:rPr>
          <w:rFonts w:eastAsia="CaeciliaLTStd-Roman"/>
        </w:rPr>
        <w:t xml:space="preserve"> or more sample cases with means.</w:t>
      </w:r>
    </w:p>
    <w:p w:rsidR="00B67ED0" w:rsidRPr="005A75EB" w:rsidRDefault="00B67ED0" w:rsidP="00B67ED0">
      <w:pPr>
        <w:pStyle w:val="ListParagraph"/>
        <w:ind w:left="915"/>
      </w:pPr>
      <w:r w:rsidRPr="005A75EB">
        <w:rPr>
          <w:rFonts w:eastAsia="CaeciliaLTStd-Roman"/>
        </w:rPr>
        <w:t>11.4</w:t>
      </w:r>
      <w:r w:rsidRPr="005A75EB">
        <w:rPr>
          <w:rFonts w:eastAsia="CaeciliaLTStd-Roman"/>
        </w:rPr>
        <w:tab/>
        <w:t>Determine the significance of an F-ratio test statistic.</w:t>
      </w:r>
    </w:p>
    <w:p w:rsidR="00B67ED0" w:rsidRPr="0030565A" w:rsidRDefault="00B67ED0" w:rsidP="00B67ED0">
      <w:pPr>
        <w:pStyle w:val="ListParagraph"/>
        <w:ind w:left="915"/>
      </w:pPr>
      <w:r w:rsidRPr="00C613AC">
        <w:rPr>
          <w:rFonts w:eastAsia="CaeciliaLTStd-Roman"/>
        </w:rPr>
        <w:t>11.5</w:t>
      </w:r>
      <w:r w:rsidRPr="00C613AC">
        <w:rPr>
          <w:rFonts w:eastAsia="CaeciliaLTStd-Roman"/>
        </w:rPr>
        <w:tab/>
      </w:r>
      <w:r w:rsidRPr="008F0690">
        <w:rPr>
          <w:rFonts w:eastAsia="CaeciliaLTStd-Roman"/>
        </w:rPr>
        <w:t>Interpret output for ANOVA.</w:t>
      </w:r>
    </w:p>
    <w:p w:rsidR="00B67ED0" w:rsidRPr="00064D15" w:rsidRDefault="00B67ED0" w:rsidP="00B67ED0">
      <w:pPr>
        <w:pStyle w:val="Heading2"/>
        <w:rPr>
          <w:rFonts w:cs="Times New Roman"/>
          <w:color w:val="2E74B5" w:themeColor="accent1" w:themeShade="BF"/>
          <w:sz w:val="24"/>
          <w:szCs w:val="24"/>
        </w:rPr>
      </w:pPr>
      <w:r w:rsidRPr="00064D15">
        <w:rPr>
          <w:rFonts w:cs="Times New Roman"/>
          <w:color w:val="2E74B5" w:themeColor="accent1" w:themeShade="BF"/>
          <w:sz w:val="24"/>
          <w:szCs w:val="24"/>
        </w:rPr>
        <w:t>Chapter Outline</w:t>
      </w:r>
    </w:p>
    <w:p w:rsidR="00B67ED0" w:rsidRPr="000D20AB" w:rsidRDefault="00B67ED0" w:rsidP="00B67ED0">
      <w:pPr>
        <w:pStyle w:val="ListParagraph"/>
        <w:numPr>
          <w:ilvl w:val="0"/>
          <w:numId w:val="1"/>
        </w:numPr>
        <w:ind w:left="567" w:hanging="425"/>
      </w:pPr>
      <w:bookmarkStart w:id="1" w:name="_Hlk10183797"/>
      <w:r w:rsidRPr="004F03D9">
        <w:t>Understanding Analysis o</w:t>
      </w:r>
      <w:r w:rsidRPr="000D20AB">
        <w:t>f Variance</w:t>
      </w:r>
    </w:p>
    <w:p w:rsidR="00B67ED0" w:rsidRPr="0067282A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D20AB">
        <w:rPr>
          <w:b/>
          <w:bCs/>
        </w:rPr>
        <w:t xml:space="preserve">Analysis of variance </w:t>
      </w:r>
      <w:r w:rsidRPr="0067282A">
        <w:t>(ANOVA) is an inferential statistics technique designed to test for a significant relationship between two variables in two or more groups or samples.</w:t>
      </w:r>
    </w:p>
    <w:p w:rsidR="00B67ED0" w:rsidRPr="000D20AB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67282A">
        <w:rPr>
          <w:iCs/>
        </w:rPr>
        <w:t>“</w:t>
      </w:r>
      <w:r w:rsidRPr="00456EF7">
        <w:rPr>
          <w:i/>
          <w:iCs/>
        </w:rPr>
        <w:t>t</w:t>
      </w:r>
      <w:r w:rsidRPr="00456EF7">
        <w:rPr>
          <w:iCs/>
        </w:rPr>
        <w:t>”</w:t>
      </w:r>
      <w:r w:rsidRPr="000D20AB">
        <w:rPr>
          <w:i/>
          <w:iCs/>
        </w:rPr>
        <w:t xml:space="preserve"> </w:t>
      </w:r>
      <w:r w:rsidRPr="000D20AB">
        <w:rPr>
          <w:iCs/>
        </w:rPr>
        <w:t>test examines the difference between two means,</w:t>
      </w:r>
      <w:r>
        <w:rPr>
          <w:iCs/>
        </w:rPr>
        <w:t xml:space="preserve"> </w:t>
      </w:r>
      <w:r w:rsidRPr="00064D15">
        <w:rPr>
          <w:iCs/>
          <w:position w:val="-12"/>
        </w:rPr>
        <w:object w:dxaOrig="6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.75pt" o:ole="">
            <v:imagedata r:id="rId7" o:title=""/>
          </v:shape>
          <o:OLEObject Type="Embed" ProgID="Equation.DSMT4" ShapeID="_x0000_i1025" DrawAspect="Content" ObjectID="_1637499268" r:id="rId8"/>
        </w:object>
      </w:r>
      <w:r w:rsidRPr="004F03D9">
        <w:rPr>
          <w:iCs/>
        </w:rPr>
        <w:t>, w</w:t>
      </w:r>
      <w:r w:rsidRPr="000D20AB">
        <w:rPr>
          <w:iCs/>
        </w:rPr>
        <w:t>hile the null hypothesis assumes that there is</w:t>
      </w:r>
      <w:r w:rsidRPr="0067282A">
        <w:rPr>
          <w:iCs/>
        </w:rPr>
        <w:t xml:space="preserve"> no difference between them:</w:t>
      </w:r>
      <w:r>
        <w:rPr>
          <w:iCs/>
        </w:rPr>
        <w:t xml:space="preserve"> μ</w:t>
      </w:r>
      <w:r w:rsidRPr="00064D15">
        <w:rPr>
          <w:iCs/>
          <w:vertAlign w:val="subscript"/>
        </w:rPr>
        <w:t>1</w:t>
      </w:r>
      <w:r>
        <w:rPr>
          <w:iCs/>
        </w:rPr>
        <w:t xml:space="preserve"> = μ</w:t>
      </w:r>
      <w:r w:rsidRPr="00064D15">
        <w:rPr>
          <w:iCs/>
          <w:vertAlign w:val="subscript"/>
        </w:rPr>
        <w:t>2</w:t>
      </w:r>
      <w:r w:rsidRPr="004F03D9">
        <w:rPr>
          <w:iCs/>
        </w:rPr>
        <w:t>.</w:t>
      </w:r>
    </w:p>
    <w:p w:rsidR="00B67ED0" w:rsidRPr="0067282A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D20AB">
        <w:t xml:space="preserve">The logic of </w:t>
      </w:r>
      <w:r w:rsidRPr="0067282A">
        <w:t>ANOVA is same but extending to two or more groups.</w:t>
      </w:r>
    </w:p>
    <w:p w:rsidR="00B67ED0" w:rsidRPr="00456EF7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67282A">
        <w:t xml:space="preserve">When ANOVA procedures are applied to data with one dependent and one independent variable, it is called a </w:t>
      </w:r>
      <w:r w:rsidRPr="0067282A">
        <w:rPr>
          <w:b/>
        </w:rPr>
        <w:t>one-way ANOVA</w:t>
      </w:r>
      <w:r w:rsidRPr="00456EF7">
        <w:t>.</w:t>
      </w:r>
    </w:p>
    <w:p w:rsidR="00B67ED0" w:rsidRPr="005A75EB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F1B7C">
        <w:t>To determine whether the differences are significant, ANOVA examines</w:t>
      </w:r>
      <w:r w:rsidRPr="00460FB3">
        <w:t>:</w:t>
      </w:r>
      <w:r w:rsidRPr="005A75EB">
        <w:t xml:space="preserve"> </w:t>
      </w:r>
    </w:p>
    <w:p w:rsidR="00B67ED0" w:rsidRPr="008F0690" w:rsidRDefault="00B67ED0" w:rsidP="00B67ED0">
      <w:pPr>
        <w:pStyle w:val="ListParagraph"/>
        <w:numPr>
          <w:ilvl w:val="2"/>
          <w:numId w:val="2"/>
        </w:numPr>
        <w:ind w:left="1418" w:hanging="425"/>
      </w:pPr>
      <w:r w:rsidRPr="005A75EB">
        <w:t>The differences between</w:t>
      </w:r>
      <w:r w:rsidRPr="005A75EB">
        <w:rPr>
          <w:i/>
          <w:iCs/>
        </w:rPr>
        <w:t xml:space="preserve"> </w:t>
      </w:r>
      <w:r w:rsidRPr="00C613AC">
        <w:t>the samples.</w:t>
      </w:r>
    </w:p>
    <w:p w:rsidR="00B67ED0" w:rsidRPr="00824E30" w:rsidRDefault="00B67ED0" w:rsidP="00B67ED0">
      <w:pPr>
        <w:pStyle w:val="ListParagraph"/>
        <w:numPr>
          <w:ilvl w:val="2"/>
          <w:numId w:val="2"/>
        </w:numPr>
        <w:ind w:left="1418" w:hanging="425"/>
      </w:pPr>
      <w:r w:rsidRPr="0030565A">
        <w:t>The differences within</w:t>
      </w:r>
      <w:r w:rsidRPr="008909F2">
        <w:rPr>
          <w:i/>
          <w:iCs/>
        </w:rPr>
        <w:t xml:space="preserve"> </w:t>
      </w:r>
      <w:r w:rsidRPr="00537994">
        <w:t xml:space="preserve">a single sample. </w:t>
      </w:r>
    </w:p>
    <w:p w:rsidR="00B67ED0" w:rsidRPr="00425945" w:rsidRDefault="00B67ED0" w:rsidP="00B67ED0">
      <w:pPr>
        <w:pStyle w:val="ListParagraph"/>
        <w:numPr>
          <w:ilvl w:val="2"/>
          <w:numId w:val="2"/>
        </w:numPr>
        <w:ind w:left="1418" w:hanging="425"/>
      </w:pPr>
      <w:r w:rsidRPr="008171EA">
        <w:t xml:space="preserve">The differences can also be referred to as variance or variation, which is why ANOVA is the analysis of variance. </w:t>
      </w:r>
    </w:p>
    <w:p w:rsidR="00B67ED0" w:rsidRPr="00064D15" w:rsidRDefault="00B67ED0" w:rsidP="00B67ED0">
      <w:pPr>
        <w:pStyle w:val="ListParagraph"/>
        <w:numPr>
          <w:ilvl w:val="2"/>
          <w:numId w:val="2"/>
        </w:numPr>
        <w:ind w:left="1418" w:hanging="425"/>
      </w:pPr>
      <w:r w:rsidRPr="00F91266">
        <w:t xml:space="preserve">ANOVA allows us to determine whether the variance between samples is larger </w:t>
      </w:r>
      <w:r w:rsidRPr="007B2B8B">
        <w:t>than the variance within the samples.</w:t>
      </w:r>
    </w:p>
    <w:p w:rsidR="00B67ED0" w:rsidRPr="00064D15" w:rsidRDefault="00B67ED0" w:rsidP="00B67ED0">
      <w:pPr>
        <w:pStyle w:val="ListParagraph"/>
        <w:numPr>
          <w:ilvl w:val="0"/>
          <w:numId w:val="1"/>
        </w:numPr>
        <w:ind w:left="567" w:hanging="425"/>
      </w:pPr>
      <w:r w:rsidRPr="00064D15">
        <w:t>The Structure of Hypothesis Testing With ANOVA</w:t>
      </w:r>
    </w:p>
    <w:p w:rsidR="00B67ED0" w:rsidRPr="00064D15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64D15">
        <w:t>The Assumptions</w:t>
      </w:r>
    </w:p>
    <w:p w:rsidR="00B67ED0" w:rsidRPr="00064D15" w:rsidRDefault="00B67ED0" w:rsidP="00B67ED0">
      <w:pPr>
        <w:pStyle w:val="ListParagraph"/>
        <w:numPr>
          <w:ilvl w:val="2"/>
          <w:numId w:val="3"/>
        </w:numPr>
        <w:ind w:left="1418" w:hanging="425"/>
      </w:pPr>
      <w:r w:rsidRPr="00064D15">
        <w:t>Independent random samples are used.</w:t>
      </w:r>
    </w:p>
    <w:p w:rsidR="00B67ED0" w:rsidRPr="00064D15" w:rsidRDefault="00B67ED0" w:rsidP="00B67ED0">
      <w:pPr>
        <w:pStyle w:val="ListParagraph"/>
        <w:numPr>
          <w:ilvl w:val="2"/>
          <w:numId w:val="3"/>
        </w:numPr>
        <w:ind w:left="1418" w:hanging="425"/>
      </w:pPr>
      <w:r w:rsidRPr="00064D15">
        <w:t>The dependent variable is an interval-ratio level of measurement. Some researchers also apply ANOVA to ordinal-level measurements.</w:t>
      </w:r>
    </w:p>
    <w:p w:rsidR="00B67ED0" w:rsidRPr="00064D15" w:rsidRDefault="00B67ED0" w:rsidP="00B67ED0">
      <w:pPr>
        <w:pStyle w:val="ListParagraph"/>
        <w:numPr>
          <w:ilvl w:val="2"/>
          <w:numId w:val="3"/>
        </w:numPr>
        <w:ind w:left="1418" w:hanging="425"/>
      </w:pPr>
      <w:r w:rsidRPr="00064D15">
        <w:lastRenderedPageBreak/>
        <w:t xml:space="preserve">Although we cannot confirm whether the populations are normal, given that our </w:t>
      </w:r>
      <w:r w:rsidRPr="00064D15">
        <w:rPr>
          <w:i/>
          <w:iCs/>
        </w:rPr>
        <w:t xml:space="preserve">N </w:t>
      </w:r>
      <w:r w:rsidRPr="00064D15">
        <w:t>is so small, we must assume that the population is normally distributed to proceed with our analysis.</w:t>
      </w:r>
    </w:p>
    <w:p w:rsidR="00B67ED0" w:rsidRPr="00064D15" w:rsidRDefault="00B67ED0" w:rsidP="00B67ED0">
      <w:pPr>
        <w:pStyle w:val="ListParagraph"/>
        <w:numPr>
          <w:ilvl w:val="2"/>
          <w:numId w:val="3"/>
        </w:numPr>
        <w:ind w:left="1418" w:hanging="425"/>
      </w:pPr>
      <w:r w:rsidRPr="00064D15">
        <w:t>The population variances are equal. Based on calculations, the sample variances, although not identical, are relatively homogeneous.</w:t>
      </w:r>
    </w:p>
    <w:p w:rsidR="00B67ED0" w:rsidRPr="00064D15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64D15">
        <w:t>Stating the Research and the Null Hypotheses and Setting Alpha</w:t>
      </w:r>
    </w:p>
    <w:p w:rsidR="00B67ED0" w:rsidRPr="00064D15" w:rsidRDefault="00B67ED0" w:rsidP="00B67ED0">
      <w:pPr>
        <w:pStyle w:val="ListParagraph"/>
        <w:numPr>
          <w:ilvl w:val="2"/>
          <w:numId w:val="4"/>
        </w:numPr>
        <w:ind w:left="1418" w:hanging="425"/>
        <w:rPr>
          <w:iCs/>
        </w:rPr>
      </w:pPr>
      <w:r w:rsidRPr="00064D15">
        <w:rPr>
          <w:iCs/>
        </w:rPr>
        <w:t>Research hypothesis (H</w:t>
      </w:r>
      <w:r w:rsidRPr="00064D15">
        <w:rPr>
          <w:iCs/>
          <w:vertAlign w:val="subscript"/>
        </w:rPr>
        <w:t>1</w:t>
      </w:r>
      <w:r w:rsidRPr="00064D15">
        <w:rPr>
          <w:iCs/>
        </w:rPr>
        <w:t>) proposes, at least one of the means is different.</w:t>
      </w:r>
    </w:p>
    <w:p w:rsidR="00B67ED0" w:rsidRPr="00064D15" w:rsidRDefault="00B67ED0" w:rsidP="00B67ED0">
      <w:pPr>
        <w:pStyle w:val="ListParagraph"/>
        <w:numPr>
          <w:ilvl w:val="2"/>
          <w:numId w:val="4"/>
        </w:numPr>
        <w:ind w:left="1418" w:hanging="425"/>
        <w:rPr>
          <w:iCs/>
        </w:rPr>
      </w:pPr>
      <w:r w:rsidRPr="00064D15">
        <w:rPr>
          <w:iCs/>
        </w:rPr>
        <w:t>Alpha: Probability of rejecting null hypothesis.</w:t>
      </w:r>
    </w:p>
    <w:p w:rsidR="00B67ED0" w:rsidRPr="00064D15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64D15">
        <w:t>The Concepts of Between and Within Total Variance</w:t>
      </w:r>
    </w:p>
    <w:p w:rsidR="00B67ED0" w:rsidRPr="000D20AB" w:rsidRDefault="00B67ED0" w:rsidP="00B67ED0">
      <w:pPr>
        <w:pStyle w:val="ListParagraph"/>
        <w:numPr>
          <w:ilvl w:val="2"/>
          <w:numId w:val="5"/>
        </w:numPr>
        <w:ind w:left="1418" w:hanging="425"/>
      </w:pPr>
      <w:r w:rsidRPr="00064D15">
        <w:t>Primary set of calculations has to do with the two types of variance</w:t>
      </w:r>
      <w:r w:rsidRPr="004F03D9">
        <w:t xml:space="preserve">: </w:t>
      </w:r>
    </w:p>
    <w:p w:rsidR="00B67ED0" w:rsidRPr="000D20AB" w:rsidRDefault="00B67ED0" w:rsidP="00B67ED0">
      <w:pPr>
        <w:pStyle w:val="ListParagraph"/>
        <w:numPr>
          <w:ilvl w:val="3"/>
          <w:numId w:val="1"/>
        </w:numPr>
        <w:ind w:left="1843" w:hanging="425"/>
      </w:pPr>
      <w:r w:rsidRPr="000D20AB">
        <w:t>Between-group variance.</w:t>
      </w:r>
    </w:p>
    <w:p w:rsidR="00B67ED0" w:rsidRPr="0067282A" w:rsidRDefault="00B67ED0" w:rsidP="00B67ED0">
      <w:pPr>
        <w:pStyle w:val="ListParagraph"/>
        <w:numPr>
          <w:ilvl w:val="3"/>
          <w:numId w:val="1"/>
        </w:numPr>
        <w:ind w:left="1843" w:hanging="425"/>
      </w:pPr>
      <w:r w:rsidRPr="0067282A">
        <w:t>Within-group variance.</w:t>
      </w:r>
    </w:p>
    <w:p w:rsidR="00B67ED0" w:rsidRPr="000F1B7C" w:rsidRDefault="00B67ED0" w:rsidP="00B67ED0">
      <w:pPr>
        <w:pStyle w:val="ListParagraph"/>
        <w:numPr>
          <w:ilvl w:val="2"/>
          <w:numId w:val="5"/>
        </w:numPr>
        <w:ind w:left="1418" w:hanging="425"/>
      </w:pPr>
      <w:r w:rsidRPr="00456EF7">
        <w:t xml:space="preserve">The </w:t>
      </w:r>
      <w:r w:rsidRPr="00456EF7">
        <w:rPr>
          <w:b/>
        </w:rPr>
        <w:t>between-group sum of squares</w:t>
      </w:r>
      <w:r w:rsidRPr="00456EF7">
        <w:rPr>
          <w:i/>
          <w:iCs/>
        </w:rPr>
        <w:t xml:space="preserve"> </w:t>
      </w:r>
      <w:r w:rsidRPr="00456EF7">
        <w:t xml:space="preserve">or </w:t>
      </w:r>
      <w:r w:rsidRPr="00456EF7">
        <w:rPr>
          <w:i/>
          <w:iCs/>
        </w:rPr>
        <w:t xml:space="preserve">SSB </w:t>
      </w:r>
      <w:r w:rsidRPr="00456EF7">
        <w:t>measures the difference in average years of education between our four groups.</w:t>
      </w:r>
    </w:p>
    <w:p w:rsidR="00B67ED0" w:rsidRPr="00460FB3" w:rsidRDefault="00B67ED0" w:rsidP="00B67ED0">
      <w:pPr>
        <w:pStyle w:val="ListParagraph"/>
        <w:numPr>
          <w:ilvl w:val="2"/>
          <w:numId w:val="5"/>
        </w:numPr>
        <w:ind w:left="1418" w:hanging="425"/>
      </w:pPr>
      <w:r w:rsidRPr="000F1B7C">
        <w:t xml:space="preserve">Formula: </w:t>
      </w:r>
      <w:r w:rsidRPr="00064D15">
        <w:rPr>
          <w:position w:val="-14"/>
        </w:rPr>
        <w:object w:dxaOrig="2060" w:dyaOrig="440">
          <v:shape id="_x0000_i1026" type="#_x0000_t75" style="width:102.75pt;height:21.75pt" o:ole="">
            <v:imagedata r:id="rId9" o:title=""/>
          </v:shape>
          <o:OLEObject Type="Embed" ProgID="Equation.DSMT4" ShapeID="_x0000_i1026" DrawAspect="Content" ObjectID="_1637499269" r:id="rId10"/>
        </w:object>
      </w:r>
      <w:r w:rsidRPr="000F1B7C">
        <w:rPr>
          <w:b/>
          <w:bCs/>
        </w:rPr>
        <w:t xml:space="preserve">Within-group sum of squares </w:t>
      </w:r>
      <w:r w:rsidRPr="000F1B7C">
        <w:rPr>
          <w:iCs/>
        </w:rPr>
        <w:t>o</w:t>
      </w:r>
      <w:r w:rsidRPr="000F1B7C">
        <w:t xml:space="preserve">r </w:t>
      </w:r>
      <w:r w:rsidRPr="000F1B7C">
        <w:rPr>
          <w:i/>
          <w:iCs/>
        </w:rPr>
        <w:t xml:space="preserve">SSW </w:t>
      </w:r>
      <w:r w:rsidRPr="000F1B7C">
        <w:t>measures the variation of scores within a single sample.</w:t>
      </w:r>
    </w:p>
    <w:p w:rsidR="00B67ED0" w:rsidRPr="004F03D9" w:rsidRDefault="00B67ED0" w:rsidP="00B67ED0">
      <w:pPr>
        <w:pStyle w:val="ListParagraph"/>
        <w:numPr>
          <w:ilvl w:val="0"/>
          <w:numId w:val="6"/>
        </w:numPr>
        <w:ind w:left="1843" w:hanging="425"/>
      </w:pPr>
      <w:r w:rsidRPr="00460FB3">
        <w:rPr>
          <w:bCs/>
        </w:rPr>
        <w:t>Formula:</w:t>
      </w:r>
      <w:r>
        <w:rPr>
          <w:bCs/>
        </w:rPr>
        <w:t xml:space="preserve"> </w:t>
      </w:r>
      <w:r w:rsidRPr="00064D15">
        <w:rPr>
          <w:position w:val="-14"/>
        </w:rPr>
        <w:object w:dxaOrig="2140" w:dyaOrig="440">
          <v:shape id="_x0000_i1027" type="#_x0000_t75" style="width:106.5pt;height:21.75pt" o:ole="">
            <v:imagedata r:id="rId11" o:title=""/>
          </v:shape>
          <o:OLEObject Type="Embed" ProgID="Equation.DSMT4" ShapeID="_x0000_i1027" DrawAspect="Content" ObjectID="_1637499270" r:id="rId12"/>
        </w:object>
      </w:r>
    </w:p>
    <w:p w:rsidR="00B67ED0" w:rsidRPr="000D20AB" w:rsidRDefault="00B67ED0" w:rsidP="00B67ED0">
      <w:pPr>
        <w:pStyle w:val="ListParagraph"/>
        <w:numPr>
          <w:ilvl w:val="2"/>
          <w:numId w:val="5"/>
        </w:numPr>
        <w:ind w:left="1418" w:hanging="425"/>
      </w:pPr>
      <w:r w:rsidRPr="000D20AB">
        <w:t xml:space="preserve">The </w:t>
      </w:r>
      <w:r w:rsidRPr="000D20AB">
        <w:rPr>
          <w:b/>
        </w:rPr>
        <w:t xml:space="preserve">total sum of squares </w:t>
      </w:r>
      <w:r w:rsidRPr="0067282A">
        <w:t xml:space="preserve">or </w:t>
      </w:r>
      <w:r w:rsidRPr="0067282A">
        <w:rPr>
          <w:iCs/>
        </w:rPr>
        <w:t>SST</w:t>
      </w:r>
      <w:r w:rsidRPr="00456EF7">
        <w:rPr>
          <w:i/>
          <w:iCs/>
        </w:rPr>
        <w:t xml:space="preserve"> </w:t>
      </w:r>
      <w:r w:rsidRPr="00456EF7">
        <w:t xml:space="preserve">can be represented by </w:t>
      </w:r>
      <w:r w:rsidRPr="00064D15">
        <w:rPr>
          <w:position w:val="-14"/>
        </w:rPr>
        <w:object w:dxaOrig="3159" w:dyaOrig="440">
          <v:shape id="_x0000_i1028" type="#_x0000_t75" style="width:157.5pt;height:21.75pt" o:ole="">
            <v:imagedata r:id="rId13" o:title=""/>
          </v:shape>
          <o:OLEObject Type="Embed" ProgID="Equation.DSMT4" ShapeID="_x0000_i1028" DrawAspect="Content" ObjectID="_1637499271" r:id="rId14"/>
        </w:object>
      </w:r>
    </w:p>
    <w:p w:rsidR="00B67ED0" w:rsidRPr="004F03D9" w:rsidRDefault="00B67ED0" w:rsidP="00B67ED0">
      <w:pPr>
        <w:pStyle w:val="ListParagraph"/>
        <w:numPr>
          <w:ilvl w:val="2"/>
          <w:numId w:val="5"/>
        </w:numPr>
        <w:ind w:left="1418" w:hanging="425"/>
      </w:pPr>
      <w:r w:rsidRPr="000D20AB">
        <w:t xml:space="preserve">Estimating the between-group variance by calculating </w:t>
      </w:r>
      <w:r w:rsidRPr="000D20AB">
        <w:rPr>
          <w:b/>
        </w:rPr>
        <w:t>mean square between</w:t>
      </w:r>
      <w:r w:rsidRPr="0067282A">
        <w:t xml:space="preserve"> which is the sum of squares between divided by its corresponding degrees of freedom</w:t>
      </w:r>
      <w:r w:rsidRPr="00456EF7">
        <w:t>.</w:t>
      </w:r>
      <w:r>
        <w:t xml:space="preserve"> SSB/</w:t>
      </w:r>
      <w:r w:rsidRPr="00064D15">
        <w:rPr>
          <w:i/>
        </w:rPr>
        <w:t>df</w:t>
      </w:r>
      <w:r w:rsidRPr="00064D15">
        <w:rPr>
          <w:vertAlign w:val="subscript"/>
        </w:rPr>
        <w:t>b</w:t>
      </w:r>
    </w:p>
    <w:p w:rsidR="00B67ED0" w:rsidRPr="004F03D9" w:rsidRDefault="00B67ED0" w:rsidP="00B67ED0">
      <w:pPr>
        <w:pStyle w:val="ListParagraph"/>
        <w:numPr>
          <w:ilvl w:val="2"/>
          <w:numId w:val="5"/>
        </w:numPr>
        <w:ind w:left="1418" w:hanging="425"/>
      </w:pPr>
      <w:r w:rsidRPr="000D20AB">
        <w:t xml:space="preserve">Estimating the within-group variance by calculating </w:t>
      </w:r>
      <w:r w:rsidRPr="000D20AB">
        <w:rPr>
          <w:b/>
        </w:rPr>
        <w:t>mean square within</w:t>
      </w:r>
      <w:r w:rsidRPr="0067282A">
        <w:t xml:space="preserve"> which is the sum of squares between divided by its corresponding degrees of freedom.</w:t>
      </w:r>
      <w:r>
        <w:t xml:space="preserve"> SSW/</w:t>
      </w:r>
      <w:r w:rsidRPr="00064D15">
        <w:rPr>
          <w:i/>
        </w:rPr>
        <w:t>df</w:t>
      </w:r>
      <w:r w:rsidRPr="00064D15">
        <w:rPr>
          <w:vertAlign w:val="subscript"/>
        </w:rPr>
        <w:t>w</w:t>
      </w:r>
    </w:p>
    <w:p w:rsidR="00B67ED0" w:rsidRPr="0067282A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D20AB">
        <w:t xml:space="preserve">The </w:t>
      </w:r>
      <w:r w:rsidRPr="000D20AB">
        <w:rPr>
          <w:i/>
        </w:rPr>
        <w:t>F</w:t>
      </w:r>
      <w:r w:rsidRPr="000D20AB">
        <w:t xml:space="preserve"> Statistic</w:t>
      </w:r>
    </w:p>
    <w:p w:rsidR="00B67ED0" w:rsidRDefault="00B67ED0" w:rsidP="00B67ED0">
      <w:pPr>
        <w:pStyle w:val="ListParagraph"/>
        <w:numPr>
          <w:ilvl w:val="2"/>
          <w:numId w:val="7"/>
        </w:numPr>
        <w:ind w:left="1418" w:hanging="425"/>
      </w:pPr>
      <w:r w:rsidRPr="0067282A">
        <w:t xml:space="preserve">Together the mean square between and mean square within compose </w:t>
      </w:r>
      <w:r w:rsidRPr="00456EF7">
        <w:rPr>
          <w:b/>
        </w:rPr>
        <w:t>the F ratio obtained</w:t>
      </w:r>
      <w:r w:rsidRPr="00456EF7">
        <w:t xml:space="preserve"> or </w:t>
      </w:r>
      <w:r w:rsidRPr="00064D15">
        <w:rPr>
          <w:b/>
          <w:i/>
        </w:rPr>
        <w:t>F</w:t>
      </w:r>
      <w:r w:rsidRPr="004F03D9">
        <w:rPr>
          <w:b/>
        </w:rPr>
        <w:t xml:space="preserve"> statistic</w:t>
      </w:r>
      <w:r w:rsidRPr="000D20AB">
        <w:t>.</w:t>
      </w:r>
      <w:r>
        <w:t xml:space="preserve"> </w:t>
      </w:r>
    </w:p>
    <w:p w:rsidR="00B67ED0" w:rsidRDefault="00B67ED0" w:rsidP="00B67ED0">
      <w:pPr>
        <w:pStyle w:val="MTDisplayEquation"/>
      </w:pPr>
      <w:r w:rsidRPr="00C613AC">
        <w:rPr>
          <w:position w:val="-30"/>
        </w:rPr>
        <w:object w:dxaOrig="3780" w:dyaOrig="680">
          <v:shape id="_x0000_i1029" type="#_x0000_t75" style="width:189pt;height:33.75pt" o:ole="">
            <v:imagedata r:id="rId15" o:title=""/>
          </v:shape>
          <o:OLEObject Type="Embed" ProgID="Equation.DSMT4" ShapeID="_x0000_i1029" DrawAspect="Content" ObjectID="_1637499272" r:id="rId16"/>
        </w:object>
      </w:r>
    </w:p>
    <w:p w:rsidR="00B67ED0" w:rsidRPr="000D20AB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D20AB">
        <w:t>Making a decision</w:t>
      </w:r>
    </w:p>
    <w:p w:rsidR="00B67ED0" w:rsidRPr="0067282A" w:rsidRDefault="00B67ED0" w:rsidP="00B67ED0">
      <w:pPr>
        <w:pStyle w:val="ListParagraph"/>
        <w:numPr>
          <w:ilvl w:val="2"/>
          <w:numId w:val="8"/>
        </w:numPr>
        <w:ind w:left="1418" w:hanging="425"/>
      </w:pPr>
      <w:r w:rsidRPr="000D20AB">
        <w:t xml:space="preserve">Calculating </w:t>
      </w:r>
      <w:r w:rsidRPr="00064D15">
        <w:rPr>
          <w:i/>
        </w:rPr>
        <w:t>F</w:t>
      </w:r>
      <w:r w:rsidRPr="004F03D9">
        <w:t xml:space="preserve"> statistic and its distribution: To determine the probability of calculating an </w:t>
      </w:r>
      <w:r w:rsidRPr="000D20AB">
        <w:rPr>
          <w:i/>
          <w:iCs/>
        </w:rPr>
        <w:t xml:space="preserve">F </w:t>
      </w:r>
      <w:r w:rsidRPr="000D20AB">
        <w:t xml:space="preserve">statistic, we rely on the distribution of the </w:t>
      </w:r>
      <w:r w:rsidRPr="000D20AB">
        <w:rPr>
          <w:i/>
          <w:iCs/>
        </w:rPr>
        <w:t xml:space="preserve">F </w:t>
      </w:r>
      <w:r w:rsidRPr="0067282A">
        <w:t>statistic.</w:t>
      </w:r>
    </w:p>
    <w:p w:rsidR="00B67ED0" w:rsidRPr="000F1B7C" w:rsidRDefault="00B67ED0" w:rsidP="00B67ED0">
      <w:pPr>
        <w:pStyle w:val="ListParagraph"/>
        <w:numPr>
          <w:ilvl w:val="2"/>
          <w:numId w:val="8"/>
        </w:numPr>
        <w:ind w:left="1418" w:hanging="425"/>
      </w:pPr>
      <w:r w:rsidRPr="00456EF7">
        <w:t xml:space="preserve">Degrees of freedom: </w:t>
      </w:r>
    </w:p>
    <w:p w:rsidR="00B67ED0" w:rsidRPr="000D20AB" w:rsidRDefault="00B67ED0" w:rsidP="00B67ED0">
      <w:pPr>
        <w:pStyle w:val="ListParagraph"/>
        <w:numPr>
          <w:ilvl w:val="3"/>
          <w:numId w:val="1"/>
        </w:numPr>
        <w:ind w:left="1843" w:hanging="425"/>
      </w:pPr>
      <w:r w:rsidRPr="00460FB3">
        <w:lastRenderedPageBreak/>
        <w:t>There are two degrees of freedom,</w:t>
      </w:r>
      <w:r>
        <w:t xml:space="preserve"> </w:t>
      </w:r>
      <w:r w:rsidRPr="00064D15">
        <w:rPr>
          <w:i/>
        </w:rPr>
        <w:t>df</w:t>
      </w:r>
      <w:r w:rsidRPr="00064D15">
        <w:rPr>
          <w:vertAlign w:val="subscript"/>
        </w:rPr>
        <w:t>1</w:t>
      </w:r>
      <w:r>
        <w:t xml:space="preserve"> = </w:t>
      </w:r>
      <w:r w:rsidRPr="00064D15">
        <w:rPr>
          <w:i/>
        </w:rPr>
        <w:t>df</w:t>
      </w:r>
      <w:r w:rsidRPr="00064D15">
        <w:rPr>
          <w:vertAlign w:val="subscript"/>
        </w:rPr>
        <w:t>b</w:t>
      </w:r>
      <w:r w:rsidRPr="004F03D9">
        <w:t xml:space="preserve"> and</w:t>
      </w:r>
      <w:r>
        <w:t xml:space="preserve"> </w:t>
      </w:r>
      <w:r w:rsidRPr="00064D15">
        <w:rPr>
          <w:i/>
        </w:rPr>
        <w:t>df</w:t>
      </w:r>
      <w:r w:rsidRPr="00064D15">
        <w:rPr>
          <w:vertAlign w:val="subscript"/>
        </w:rPr>
        <w:t>2</w:t>
      </w:r>
      <w:r>
        <w:t xml:space="preserve"> = </w:t>
      </w:r>
      <w:r w:rsidRPr="00064D15">
        <w:rPr>
          <w:i/>
        </w:rPr>
        <w:t>df</w:t>
      </w:r>
      <w:r w:rsidRPr="00064D15">
        <w:rPr>
          <w:vertAlign w:val="subscript"/>
        </w:rPr>
        <w:t>w</w:t>
      </w:r>
      <w:r w:rsidRPr="004F03D9">
        <w:t xml:space="preserve">. </w:t>
      </w:r>
    </w:p>
    <w:p w:rsidR="00B67ED0" w:rsidRPr="00460FB3" w:rsidRDefault="00B67ED0" w:rsidP="00B67ED0">
      <w:pPr>
        <w:pStyle w:val="ListParagraph"/>
        <w:numPr>
          <w:ilvl w:val="3"/>
          <w:numId w:val="1"/>
        </w:numPr>
        <w:ind w:left="1843" w:hanging="425"/>
      </w:pPr>
      <w:r w:rsidRPr="000D20AB">
        <w:t xml:space="preserve">Because of the two degrees of freedom, we’ll have to determine the probability of our </w:t>
      </w:r>
      <w:r w:rsidRPr="0067282A">
        <w:rPr>
          <w:i/>
          <w:iCs/>
        </w:rPr>
        <w:t xml:space="preserve">F </w:t>
      </w:r>
      <w:r w:rsidRPr="0067282A">
        <w:t xml:space="preserve">obtained differently than we did with </w:t>
      </w:r>
      <w:r w:rsidRPr="00456EF7">
        <w:rPr>
          <w:i/>
          <w:iCs/>
        </w:rPr>
        <w:t xml:space="preserve">t </w:t>
      </w:r>
      <w:r w:rsidRPr="000F1B7C">
        <w:t xml:space="preserve">test or chi-square. </w:t>
      </w:r>
    </w:p>
    <w:p w:rsidR="00B67ED0" w:rsidRPr="000D20AB" w:rsidRDefault="00B67ED0" w:rsidP="00B67ED0">
      <w:pPr>
        <w:pStyle w:val="ListParagraph"/>
        <w:numPr>
          <w:ilvl w:val="2"/>
          <w:numId w:val="8"/>
        </w:numPr>
        <w:ind w:left="1418" w:hanging="425"/>
      </w:pPr>
      <w:r w:rsidRPr="00064D15">
        <w:rPr>
          <w:i/>
        </w:rPr>
        <w:t>F</w:t>
      </w:r>
      <w:r w:rsidRPr="004F03D9">
        <w:t xml:space="preserve">-critical and </w:t>
      </w:r>
      <w:r w:rsidRPr="00064D15">
        <w:rPr>
          <w:i/>
        </w:rPr>
        <w:t>F</w:t>
      </w:r>
      <w:r w:rsidRPr="004F03D9">
        <w:t xml:space="preserve">-obtained: </w:t>
      </w:r>
    </w:p>
    <w:p w:rsidR="00B67ED0" w:rsidRPr="000D20AB" w:rsidRDefault="00B67ED0" w:rsidP="00B67ED0">
      <w:pPr>
        <w:pStyle w:val="ListParagraph"/>
        <w:numPr>
          <w:ilvl w:val="0"/>
          <w:numId w:val="9"/>
        </w:numPr>
        <w:ind w:left="1843" w:hanging="425"/>
      </w:pPr>
      <w:r w:rsidRPr="00064D15">
        <w:rPr>
          <w:b/>
          <w:bCs/>
          <w:i/>
        </w:rPr>
        <w:t>F</w:t>
      </w:r>
      <w:r w:rsidRPr="004F03D9">
        <w:rPr>
          <w:b/>
          <w:bCs/>
        </w:rPr>
        <w:t xml:space="preserve"> critical: </w:t>
      </w:r>
      <w:r w:rsidRPr="000D20AB">
        <w:t xml:space="preserve">The </w:t>
      </w:r>
      <w:r w:rsidRPr="00064D15">
        <w:rPr>
          <w:i/>
        </w:rPr>
        <w:t>F</w:t>
      </w:r>
      <w:r w:rsidRPr="004F03D9">
        <w:t>-test statistic that corresponds to the alpha level,</w:t>
      </w:r>
      <w:r>
        <w:t xml:space="preserve"> </w:t>
      </w:r>
      <w:r w:rsidRPr="00064D15">
        <w:rPr>
          <w:i/>
        </w:rPr>
        <w:t>df</w:t>
      </w:r>
      <w:r w:rsidRPr="00064D15">
        <w:rPr>
          <w:vertAlign w:val="subscript"/>
        </w:rPr>
        <w:t>w</w:t>
      </w:r>
      <w:r w:rsidRPr="004F03D9">
        <w:t>, and</w:t>
      </w:r>
      <w:r>
        <w:t xml:space="preserve"> </w:t>
      </w:r>
      <w:r w:rsidRPr="00064D15">
        <w:rPr>
          <w:i/>
        </w:rPr>
        <w:t>df</w:t>
      </w:r>
      <w:r w:rsidRPr="00064D15">
        <w:rPr>
          <w:vertAlign w:val="subscript"/>
        </w:rPr>
        <w:t>b</w:t>
      </w:r>
      <w:r w:rsidRPr="004F03D9">
        <w:t>.</w:t>
      </w:r>
    </w:p>
    <w:p w:rsidR="00B67ED0" w:rsidRPr="000D20AB" w:rsidRDefault="00B67ED0" w:rsidP="00B67ED0">
      <w:pPr>
        <w:pStyle w:val="ListParagraph"/>
        <w:numPr>
          <w:ilvl w:val="0"/>
          <w:numId w:val="9"/>
        </w:numPr>
        <w:ind w:left="1843" w:hanging="425"/>
      </w:pPr>
      <w:r w:rsidRPr="000D20AB">
        <w:rPr>
          <w:b/>
          <w:bCs/>
        </w:rPr>
        <w:t xml:space="preserve">F obtained: </w:t>
      </w:r>
      <w:r w:rsidRPr="0067282A">
        <w:t xml:space="preserve">The </w:t>
      </w:r>
      <w:r w:rsidRPr="00064D15">
        <w:rPr>
          <w:i/>
        </w:rPr>
        <w:t>F</w:t>
      </w:r>
      <w:r w:rsidRPr="004F03D9">
        <w:t>-test statistic that is calculated.</w:t>
      </w:r>
    </w:p>
    <w:p w:rsidR="00B67ED0" w:rsidRPr="000D20AB" w:rsidRDefault="00B67ED0" w:rsidP="00B67ED0">
      <w:pPr>
        <w:pStyle w:val="ListParagraph"/>
        <w:numPr>
          <w:ilvl w:val="0"/>
          <w:numId w:val="9"/>
        </w:numPr>
        <w:ind w:left="1843" w:hanging="425"/>
      </w:pPr>
      <w:r w:rsidRPr="000D20AB">
        <w:t xml:space="preserve">If the </w:t>
      </w:r>
      <w:r w:rsidRPr="00064D15">
        <w:rPr>
          <w:i/>
        </w:rPr>
        <w:t>F</w:t>
      </w:r>
      <w:r w:rsidRPr="004F03D9">
        <w:t xml:space="preserve"> obtained is greater than the </w:t>
      </w:r>
      <w:r w:rsidRPr="00064D15">
        <w:rPr>
          <w:i/>
        </w:rPr>
        <w:t>F</w:t>
      </w:r>
      <w:r w:rsidRPr="004F03D9">
        <w:t xml:space="preserve"> critical, we know that its probability is &lt;.05, extending into the shaded area. </w:t>
      </w:r>
    </w:p>
    <w:p w:rsidR="00B67ED0" w:rsidRPr="0067282A" w:rsidRDefault="00B67ED0" w:rsidP="00B67ED0">
      <w:pPr>
        <w:pStyle w:val="ListParagraph"/>
        <w:numPr>
          <w:ilvl w:val="0"/>
          <w:numId w:val="9"/>
        </w:numPr>
        <w:ind w:left="1843" w:hanging="425"/>
      </w:pPr>
      <w:r w:rsidRPr="000D20AB">
        <w:t>If t</w:t>
      </w:r>
      <w:r w:rsidRPr="0067282A">
        <w:t xml:space="preserve">he </w:t>
      </w:r>
      <w:r w:rsidRPr="00064D15">
        <w:rPr>
          <w:i/>
        </w:rPr>
        <w:t>F</w:t>
      </w:r>
      <w:r w:rsidRPr="004F03D9">
        <w:t xml:space="preserve"> obtained was lesser than the </w:t>
      </w:r>
      <w:r w:rsidRPr="00064D15">
        <w:rPr>
          <w:i/>
        </w:rPr>
        <w:t>F</w:t>
      </w:r>
      <w:r w:rsidRPr="004F03D9">
        <w:t xml:space="preserve"> critical, we could determine that its probability was greater than ou</w:t>
      </w:r>
      <w:r w:rsidRPr="000D20AB">
        <w:t>r alpha.</w:t>
      </w:r>
    </w:p>
    <w:p w:rsidR="00B67ED0" w:rsidRPr="00460FB3" w:rsidRDefault="00B67ED0" w:rsidP="00B67ED0">
      <w:pPr>
        <w:pStyle w:val="ListParagraph"/>
        <w:numPr>
          <w:ilvl w:val="0"/>
          <w:numId w:val="1"/>
        </w:numPr>
        <w:ind w:left="567" w:hanging="425"/>
      </w:pPr>
      <w:r w:rsidRPr="00456EF7">
        <w:t>Statistics i</w:t>
      </w:r>
      <w:r w:rsidRPr="000F1B7C">
        <w:t xml:space="preserve">n Practice: The Ethical Consumer </w:t>
      </w:r>
    </w:p>
    <w:p w:rsidR="00B67ED0" w:rsidRPr="005A75EB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5A75EB">
        <w:t>By purchasing fair labor, organic, or environmentally safe products, consumers express their politics through their purchases, this has been referred to as ethical consumerism.</w:t>
      </w:r>
    </w:p>
    <w:p w:rsidR="00B67ED0" w:rsidRPr="00C613AC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C613AC">
        <w:t>The GSS2014 included a series of questions on what it takes to be a good citizen.</w:t>
      </w:r>
    </w:p>
    <w:p w:rsidR="00B67ED0" w:rsidRPr="008909F2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8F0690">
        <w:t>The ANOVA output includes two t</w:t>
      </w:r>
      <w:r w:rsidRPr="0030565A">
        <w:t xml:space="preserve">ables: (1) Descriptives and (2) ANOVA. </w:t>
      </w:r>
    </w:p>
    <w:p w:rsidR="00B67ED0" w:rsidRPr="00425945" w:rsidRDefault="00B67ED0" w:rsidP="00B67ED0">
      <w:pPr>
        <w:pStyle w:val="ListParagraph"/>
        <w:numPr>
          <w:ilvl w:val="2"/>
          <w:numId w:val="10"/>
        </w:numPr>
        <w:ind w:left="1418" w:hanging="425"/>
      </w:pPr>
      <w:r w:rsidRPr="00537994">
        <w:t xml:space="preserve">In the Descriptives table, the </w:t>
      </w:r>
      <w:r w:rsidRPr="00824E30">
        <w:rPr>
          <w:i/>
          <w:iCs/>
        </w:rPr>
        <w:t>N</w:t>
      </w:r>
      <w:r w:rsidRPr="008171EA">
        <w:t>, mean, and standard deviation are reported for each group and the entire sample, along with the 95% confidence interval for each mean.</w:t>
      </w:r>
    </w:p>
    <w:p w:rsidR="00B67ED0" w:rsidRPr="00064D15" w:rsidRDefault="00B67ED0" w:rsidP="00B67ED0">
      <w:pPr>
        <w:pStyle w:val="ListParagraph"/>
        <w:numPr>
          <w:ilvl w:val="2"/>
          <w:numId w:val="10"/>
        </w:numPr>
        <w:ind w:left="1418" w:hanging="425"/>
      </w:pPr>
      <w:r w:rsidRPr="00F91266">
        <w:t xml:space="preserve">The </w:t>
      </w:r>
      <w:r w:rsidRPr="007B2B8B">
        <w:rPr>
          <w:i/>
          <w:iCs/>
        </w:rPr>
        <w:t xml:space="preserve">F </w:t>
      </w:r>
      <w:r w:rsidRPr="00064D15">
        <w:t>obtained is reported in the ANOVA table, along with its level of significance (or probability).</w:t>
      </w:r>
    </w:p>
    <w:p w:rsidR="00B67ED0" w:rsidRPr="00064D15" w:rsidRDefault="00B67ED0" w:rsidP="00B67ED0">
      <w:pPr>
        <w:pStyle w:val="ListParagraph"/>
        <w:numPr>
          <w:ilvl w:val="2"/>
          <w:numId w:val="10"/>
        </w:numPr>
        <w:ind w:left="1418" w:hanging="425"/>
      </w:pPr>
      <w:r w:rsidRPr="00064D15">
        <w:t>Since the level of significance is greater than our alpha, we fail to reject the null hypothesis.</w:t>
      </w:r>
    </w:p>
    <w:p w:rsidR="00B67ED0" w:rsidRPr="00064D15" w:rsidRDefault="00B67ED0" w:rsidP="00B67ED0">
      <w:pPr>
        <w:pStyle w:val="ListParagraph"/>
        <w:numPr>
          <w:ilvl w:val="2"/>
          <w:numId w:val="10"/>
        </w:numPr>
        <w:ind w:left="1418" w:hanging="425"/>
      </w:pPr>
      <w:r w:rsidRPr="00064D15">
        <w:t>Although the means are different, the differences are not significant.</w:t>
      </w:r>
      <w:bookmarkEnd w:id="1"/>
    </w:p>
    <w:p w:rsidR="00B67ED0" w:rsidRPr="00064D15" w:rsidRDefault="00B67ED0" w:rsidP="00B67ED0">
      <w:pPr>
        <w:pStyle w:val="ListParagraph"/>
        <w:numPr>
          <w:ilvl w:val="0"/>
          <w:numId w:val="1"/>
        </w:numPr>
        <w:ind w:left="567" w:hanging="425"/>
      </w:pPr>
      <w:r w:rsidRPr="00064D15">
        <w:t>Reading the Research Literature: College Satisfaction Among Latino Students</w:t>
      </w:r>
    </w:p>
    <w:p w:rsidR="00B67ED0" w:rsidRPr="000F1B7C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064D15">
        <w:t xml:space="preserve">Like bivariate, </w:t>
      </w:r>
      <w:r w:rsidRPr="00064D15">
        <w:rPr>
          <w:i/>
        </w:rPr>
        <w:t>t</w:t>
      </w:r>
      <w:r w:rsidRPr="004F03D9">
        <w:t xml:space="preserve"> test</w:t>
      </w:r>
      <w:r w:rsidRPr="000D20AB">
        <w:t xml:space="preserve"> or chi-square analyses, ANOVA can help us understand h</w:t>
      </w:r>
      <w:r w:rsidRPr="0067282A">
        <w:t>ow the categories of experience, race, age, class, and/or gender shape our social lives. ANOVA allows us to investigate a</w:t>
      </w:r>
      <w:r w:rsidRPr="00456EF7">
        <w:t xml:space="preserve"> variety of social categories by comparing the differences between them.</w:t>
      </w:r>
    </w:p>
    <w:p w:rsidR="00B67ED0" w:rsidRPr="005A75EB" w:rsidRDefault="00B67ED0" w:rsidP="00B67ED0">
      <w:pPr>
        <w:pStyle w:val="ListParagraph"/>
        <w:numPr>
          <w:ilvl w:val="1"/>
          <w:numId w:val="1"/>
        </w:numPr>
        <w:ind w:left="993" w:hanging="426"/>
      </w:pPr>
      <w:r w:rsidRPr="00460FB3">
        <w:t>Research: How ANOVA is interpreted in the social science literature:</w:t>
      </w:r>
    </w:p>
    <w:p w:rsidR="00B67ED0" w:rsidRPr="008F0690" w:rsidRDefault="00B67ED0" w:rsidP="00B67ED0">
      <w:pPr>
        <w:pStyle w:val="ListParagraph"/>
        <w:numPr>
          <w:ilvl w:val="2"/>
          <w:numId w:val="11"/>
        </w:numPr>
        <w:ind w:left="1418" w:hanging="425"/>
      </w:pPr>
      <w:r w:rsidRPr="005A75EB">
        <w:t>Young Kim, Liz Rennick, and Marla Franco investigated the levels of college engagement and satisfaction among Lati</w:t>
      </w:r>
      <w:r w:rsidRPr="00C613AC">
        <w:t xml:space="preserve">no undergraduate students attending highly selective colleges and universities in comparison with other racial/ethnic groups. </w:t>
      </w:r>
    </w:p>
    <w:p w:rsidR="00B67ED0" w:rsidRPr="008909F2" w:rsidRDefault="00B67ED0" w:rsidP="00B67ED0">
      <w:pPr>
        <w:pStyle w:val="ListParagraph"/>
        <w:numPr>
          <w:ilvl w:val="2"/>
          <w:numId w:val="11"/>
        </w:numPr>
        <w:ind w:left="1418" w:hanging="425"/>
      </w:pPr>
      <w:r w:rsidRPr="0030565A">
        <w:t xml:space="preserve">Kim and their colleagues limited their analyses to the outcomes of 33,415 junior and senior students.  </w:t>
      </w:r>
    </w:p>
    <w:p w:rsidR="00B67ED0" w:rsidRPr="000D20AB" w:rsidRDefault="00B67ED0" w:rsidP="00B67ED0">
      <w:pPr>
        <w:pStyle w:val="ListParagraph"/>
        <w:numPr>
          <w:ilvl w:val="2"/>
          <w:numId w:val="11"/>
        </w:numPr>
        <w:ind w:left="1418" w:hanging="425"/>
      </w:pPr>
      <w:r w:rsidRPr="00537994">
        <w:lastRenderedPageBreak/>
        <w:t>All factors were measured</w:t>
      </w:r>
      <w:r w:rsidRPr="00824E30">
        <w:t xml:space="preserve"> on a 6-point Likert-type scale: 1 =</w:t>
      </w:r>
      <w:r w:rsidRPr="008171EA">
        <w:t xml:space="preserve"> </w:t>
      </w:r>
      <w:r w:rsidRPr="00064D15">
        <w:rPr>
          <w:i/>
        </w:rPr>
        <w:t>very poor</w:t>
      </w:r>
      <w:r w:rsidRPr="004F03D9">
        <w:t xml:space="preserve"> to 6 = </w:t>
      </w:r>
      <w:r w:rsidRPr="00064D15">
        <w:rPr>
          <w:i/>
        </w:rPr>
        <w:t>excellent</w:t>
      </w:r>
      <w:r w:rsidRPr="004F03D9">
        <w:t xml:space="preserve">. </w:t>
      </w:r>
    </w:p>
    <w:p w:rsidR="00B67ED0" w:rsidRPr="00456EF7" w:rsidRDefault="00B67ED0" w:rsidP="00B67ED0">
      <w:pPr>
        <w:pStyle w:val="ListParagraph"/>
        <w:numPr>
          <w:ilvl w:val="2"/>
          <w:numId w:val="11"/>
        </w:numPr>
        <w:ind w:left="1418" w:hanging="425"/>
      </w:pPr>
      <w:r w:rsidRPr="0067282A">
        <w:t>The findings:</w:t>
      </w:r>
    </w:p>
    <w:p w:rsidR="00B67ED0" w:rsidRPr="00C613AC" w:rsidRDefault="00B67ED0" w:rsidP="00B67ED0">
      <w:pPr>
        <w:pStyle w:val="ListParagraph"/>
        <w:numPr>
          <w:ilvl w:val="3"/>
          <w:numId w:val="1"/>
        </w:numPr>
        <w:ind w:left="1843" w:hanging="425"/>
      </w:pPr>
      <w:r w:rsidRPr="000F1B7C">
        <w:t>In terms of satisfaction with the educational experience, quality of instruction and courses in the major, advising and out-of-class contact, and library support</w:t>
      </w:r>
      <w:r w:rsidRPr="005A75EB">
        <w:t>, Latino students and all other racial/ethnic groups rated equally.</w:t>
      </w:r>
    </w:p>
    <w:p w:rsidR="00B67ED0" w:rsidRPr="0030565A" w:rsidRDefault="00B67ED0" w:rsidP="00B67ED0">
      <w:pPr>
        <w:pStyle w:val="ListParagraph"/>
        <w:numPr>
          <w:ilvl w:val="3"/>
          <w:numId w:val="1"/>
        </w:numPr>
        <w:ind w:left="1843" w:hanging="425"/>
      </w:pPr>
      <w:r w:rsidRPr="008F0690">
        <w:t>Sense of belonging and overall college satisfaction: White students reported higher levels of satisfaction.</w:t>
      </w:r>
    </w:p>
    <w:p w:rsidR="00B67ED0" w:rsidRPr="00824E30" w:rsidRDefault="00B67ED0" w:rsidP="00B67ED0">
      <w:pPr>
        <w:pStyle w:val="ListParagraph"/>
        <w:numPr>
          <w:ilvl w:val="2"/>
          <w:numId w:val="11"/>
        </w:numPr>
        <w:ind w:left="1418" w:hanging="425"/>
      </w:pPr>
      <w:r w:rsidRPr="008909F2">
        <w:t xml:space="preserve">Conclusion: The researchers may argue that the college experiences of Latino students at </w:t>
      </w:r>
      <w:r w:rsidRPr="00537994">
        <w:t>highly selective research institutions are favorable and meaningful, which may contribute to development in desired educational outcomes at these types of institutions.</w:t>
      </w:r>
    </w:p>
    <w:p w:rsidR="00820FB1" w:rsidRDefault="00820FB1"/>
    <w:sectPr w:rsidR="00820FB1" w:rsidSect="0028082F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191" w:rsidRDefault="00CC74FE">
      <w:pPr>
        <w:spacing w:after="0"/>
      </w:pPr>
      <w:r>
        <w:separator/>
      </w:r>
    </w:p>
  </w:endnote>
  <w:endnote w:type="continuationSeparator" w:id="0">
    <w:p w:rsidR="00026191" w:rsidRDefault="00CC74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eciliaLTStd-Roman">
    <w:altName w:val="Segoe Print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191" w:rsidRDefault="00CC74FE">
      <w:pPr>
        <w:spacing w:after="0"/>
      </w:pPr>
      <w:r>
        <w:separator/>
      </w:r>
    </w:p>
  </w:footnote>
  <w:footnote w:type="continuationSeparator" w:id="0">
    <w:p w:rsidR="00026191" w:rsidRDefault="00CC74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DE8" w:rsidRDefault="006A52C6" w:rsidP="007B4DE8">
    <w:pPr>
      <w:pStyle w:val="NormalWeb"/>
      <w:shd w:val="clear" w:color="auto" w:fill="FFFFFF"/>
      <w:spacing w:before="150" w:beforeAutospacing="0" w:after="0" w:afterAutospacing="0"/>
      <w:jc w:val="right"/>
      <w:rPr>
        <w:rFonts w:ascii="Arial" w:hAnsi="Arial" w:cs="Arial"/>
        <w:i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 xml:space="preserve">Frankfort-Nachmias, </w:t>
    </w:r>
    <w:r>
      <w:rPr>
        <w:rFonts w:ascii="Arial" w:hAnsi="Arial" w:cs="Arial"/>
        <w:i/>
        <w:color w:val="333333"/>
        <w:sz w:val="20"/>
        <w:szCs w:val="20"/>
      </w:rPr>
      <w:t>Social Statistics for a Diverse Society, 9e</w:t>
    </w:r>
  </w:p>
  <w:p w:rsidR="0028082F" w:rsidRPr="00064D15" w:rsidRDefault="006A52C6" w:rsidP="00064D15">
    <w:pPr>
      <w:pStyle w:val="NormalWeb"/>
      <w:shd w:val="clear" w:color="auto" w:fill="FFFFFF"/>
      <w:spacing w:before="150" w:after="0"/>
      <w:jc w:val="right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>SAGE Publishing,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798" w:rsidRPr="00AC6798" w:rsidRDefault="006A52C6" w:rsidP="00AC6798">
    <w:pPr>
      <w:spacing w:after="0"/>
      <w:rPr>
        <w:b/>
      </w:rPr>
    </w:pPr>
    <w:r w:rsidRPr="00AC6798">
      <w:t>Author Names</w:t>
    </w:r>
    <w:r>
      <w:rPr>
        <w:i/>
      </w:rPr>
      <w:t xml:space="preserve">, </w:t>
    </w:r>
    <w:r w:rsidRPr="00AC6798">
      <w:rPr>
        <w:i/>
      </w:rPr>
      <w:t xml:space="preserve">Book Title, </w:t>
    </w:r>
    <w:r w:rsidRPr="00AC6798">
      <w:t>Edition Number:</w:t>
    </w:r>
    <w:r>
      <w:rPr>
        <w:b/>
      </w:rPr>
      <w:t xml:space="preserve"> </w:t>
    </w:r>
    <w:r w:rsidRPr="00AC6798">
      <w:t>Instructor Resource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93E7E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C240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21E7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CE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2AF18B3"/>
    <w:multiLevelType w:val="hybridMultilevel"/>
    <w:tmpl w:val="D17C338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B628CA1A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B2867"/>
    <w:multiLevelType w:val="hybridMultilevel"/>
    <w:tmpl w:val="65D2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92610A"/>
    <w:multiLevelType w:val="hybridMultilevel"/>
    <w:tmpl w:val="AF04C5F4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9A88D7E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11676"/>
    <w:multiLevelType w:val="hybridMultilevel"/>
    <w:tmpl w:val="CCBC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7F2F7C"/>
    <w:multiLevelType w:val="hybridMultilevel"/>
    <w:tmpl w:val="4A562632"/>
    <w:lvl w:ilvl="0" w:tplc="978AF052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 w:tplc="9C1C4454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CD4E9FE8">
      <w:start w:val="1"/>
      <w:numFmt w:val="lowerLetter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B4E4A"/>
    <w:multiLevelType w:val="hybridMultilevel"/>
    <w:tmpl w:val="DBEEC042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5E1CE1B0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91F49"/>
    <w:multiLevelType w:val="hybridMultilevel"/>
    <w:tmpl w:val="72824F4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4C76BE26">
      <w:start w:val="1"/>
      <w:numFmt w:val="decimal"/>
      <w:pStyle w:val="MTDisplayEquation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1061F"/>
    <w:multiLevelType w:val="hybridMultilevel"/>
    <w:tmpl w:val="046C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53F56"/>
    <w:multiLevelType w:val="hybridMultilevel"/>
    <w:tmpl w:val="B9047E4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C66224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2764B"/>
    <w:multiLevelType w:val="hybridMultilevel"/>
    <w:tmpl w:val="C4326444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DC30B29A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748B9"/>
    <w:multiLevelType w:val="hybridMultilevel"/>
    <w:tmpl w:val="2EC8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2095F"/>
    <w:multiLevelType w:val="hybridMultilevel"/>
    <w:tmpl w:val="BC5A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C35DE"/>
    <w:multiLevelType w:val="hybridMultilevel"/>
    <w:tmpl w:val="F1AC1B00"/>
    <w:lvl w:ilvl="0" w:tplc="43E03B48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05969"/>
    <w:multiLevelType w:val="hybridMultilevel"/>
    <w:tmpl w:val="99584C24"/>
    <w:lvl w:ilvl="0" w:tplc="07A6CAF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20703"/>
    <w:multiLevelType w:val="hybridMultilevel"/>
    <w:tmpl w:val="01FEA4F4"/>
    <w:lvl w:ilvl="0" w:tplc="95B23486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D76479"/>
    <w:multiLevelType w:val="hybridMultilevel"/>
    <w:tmpl w:val="92184EDA"/>
    <w:lvl w:ilvl="0" w:tplc="0884336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16FEE"/>
    <w:multiLevelType w:val="hybridMultilevel"/>
    <w:tmpl w:val="68FAD0A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712AC918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0193C"/>
    <w:multiLevelType w:val="hybridMultilevel"/>
    <w:tmpl w:val="E10AB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741567"/>
    <w:multiLevelType w:val="hybridMultilevel"/>
    <w:tmpl w:val="DDD6F2C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7714A3FC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22"/>
  </w:num>
  <w:num w:numId="5">
    <w:abstractNumId w:val="6"/>
  </w:num>
  <w:num w:numId="6">
    <w:abstractNumId w:val="18"/>
  </w:num>
  <w:num w:numId="7">
    <w:abstractNumId w:val="10"/>
  </w:num>
  <w:num w:numId="8">
    <w:abstractNumId w:val="13"/>
  </w:num>
  <w:num w:numId="9">
    <w:abstractNumId w:val="16"/>
  </w:num>
  <w:num w:numId="10">
    <w:abstractNumId w:val="9"/>
  </w:num>
  <w:num w:numId="11">
    <w:abstractNumId w:val="20"/>
  </w:num>
  <w:num w:numId="12">
    <w:abstractNumId w:val="7"/>
  </w:num>
  <w:num w:numId="13">
    <w:abstractNumId w:val="21"/>
  </w:num>
  <w:num w:numId="14">
    <w:abstractNumId w:val="15"/>
  </w:num>
  <w:num w:numId="15">
    <w:abstractNumId w:val="11"/>
  </w:num>
  <w:num w:numId="16">
    <w:abstractNumId w:val="14"/>
  </w:num>
  <w:num w:numId="17">
    <w:abstractNumId w:val="5"/>
  </w:num>
  <w:num w:numId="18">
    <w:abstractNumId w:val="2"/>
  </w:num>
  <w:num w:numId="19">
    <w:abstractNumId w:val="1"/>
  </w:num>
  <w:num w:numId="20">
    <w:abstractNumId w:val="0"/>
  </w:num>
  <w:num w:numId="21">
    <w:abstractNumId w:val="3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D0"/>
    <w:rsid w:val="00026191"/>
    <w:rsid w:val="00192FF6"/>
    <w:rsid w:val="00246B11"/>
    <w:rsid w:val="0026317B"/>
    <w:rsid w:val="00361751"/>
    <w:rsid w:val="006A52C6"/>
    <w:rsid w:val="00796C26"/>
    <w:rsid w:val="007D5F83"/>
    <w:rsid w:val="00820FB1"/>
    <w:rsid w:val="00A9431B"/>
    <w:rsid w:val="00B67ED0"/>
    <w:rsid w:val="00CC74FE"/>
    <w:rsid w:val="00C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622CF71-295F-4CBD-A845-EEAA2B7F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FF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2FF6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92FF6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192FF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92FF6"/>
  </w:style>
  <w:style w:type="paragraph" w:styleId="Title">
    <w:name w:val="Title"/>
    <w:basedOn w:val="Normal"/>
    <w:next w:val="Normal"/>
    <w:link w:val="TitleChar"/>
    <w:qFormat/>
    <w:rsid w:val="00192FF6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92FF6"/>
    <w:rPr>
      <w:rFonts w:ascii="Times New Roman" w:eastAsiaTheme="majorEastAsia" w:hAnsi="Times New Roman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192FF6"/>
    <w:pPr>
      <w:ind w:left="720"/>
    </w:pPr>
    <w:rPr>
      <w:rFonts w:eastAsia="Calibri"/>
      <w:szCs w:val="22"/>
    </w:rPr>
  </w:style>
  <w:style w:type="character" w:customStyle="1" w:styleId="Heading1Char">
    <w:name w:val="Heading 1 Char"/>
    <w:basedOn w:val="DefaultParagraphFont"/>
    <w:link w:val="Heading1"/>
    <w:rsid w:val="00192FF6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92FF6"/>
    <w:rPr>
      <w:rFonts w:ascii="Times New Roman" w:eastAsiaTheme="majorEastAsia" w:hAnsi="Times New Roman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67ED0"/>
    <w:pPr>
      <w:spacing w:before="100" w:beforeAutospacing="1" w:after="100" w:afterAutospacing="1"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B67ED0"/>
    <w:pPr>
      <w:numPr>
        <w:ilvl w:val="2"/>
        <w:numId w:val="7"/>
      </w:numPr>
      <w:tabs>
        <w:tab w:val="center" w:pos="5400"/>
        <w:tab w:val="right" w:pos="9360"/>
      </w:tabs>
      <w:ind w:left="1418" w:hanging="425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7ED0"/>
    <w:rPr>
      <w:rFonts w:ascii="Times New Roman" w:eastAsia="Calibri" w:hAnsi="Times New Roman" w:cs="Times New Roman"/>
      <w:sz w:val="24"/>
    </w:rPr>
  </w:style>
  <w:style w:type="character" w:customStyle="1" w:styleId="MTDisplayEquationChar">
    <w:name w:val="MTDisplayEquation Char"/>
    <w:basedOn w:val="ListParagraphChar"/>
    <w:link w:val="MTDisplayEquation"/>
    <w:rsid w:val="00B67ED0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92F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74F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2FF6"/>
  </w:style>
  <w:style w:type="character" w:styleId="Hyperlink">
    <w:name w:val="Hyperlink"/>
    <w:uiPriority w:val="99"/>
    <w:unhideWhenUsed/>
    <w:rsid w:val="00192F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2FF6"/>
  </w:style>
  <w:style w:type="paragraph" w:customStyle="1" w:styleId="NumberedList">
    <w:name w:val="Numbered List"/>
    <w:basedOn w:val="Normal"/>
    <w:uiPriority w:val="99"/>
    <w:qFormat/>
    <w:rsid w:val="00192FF6"/>
    <w:pPr>
      <w:numPr>
        <w:numId w:val="22"/>
      </w:numPr>
      <w:spacing w:before="120"/>
    </w:pPr>
    <w:rPr>
      <w:rFonts w:eastAsia="Calibri"/>
      <w:szCs w:val="22"/>
    </w:rPr>
  </w:style>
  <w:style w:type="paragraph" w:customStyle="1" w:styleId="ReferenceText">
    <w:name w:val="Reference Text"/>
    <w:basedOn w:val="Normal"/>
    <w:uiPriority w:val="99"/>
    <w:qFormat/>
    <w:rsid w:val="00192FF6"/>
    <w:pPr>
      <w:spacing w:before="120" w:after="0"/>
      <w:ind w:left="720" w:hanging="720"/>
    </w:pPr>
    <w:rPr>
      <w:rFonts w:eastAsiaTheme="minorHAnsi" w:cstheme="minorBidi"/>
      <w:szCs w:val="22"/>
    </w:rPr>
  </w:style>
  <w:style w:type="paragraph" w:styleId="Footer">
    <w:name w:val="footer"/>
    <w:basedOn w:val="Normal"/>
    <w:link w:val="FooterChar"/>
    <w:rsid w:val="0019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2FF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192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2FF6"/>
    <w:rPr>
      <w:rFonts w:ascii="Tahoma" w:eastAsia="Times New Roman" w:hAnsi="Tahoma" w:cs="Tahoma"/>
      <w:sz w:val="16"/>
      <w:szCs w:val="16"/>
    </w:rPr>
  </w:style>
  <w:style w:type="paragraph" w:customStyle="1" w:styleId="BulletedList">
    <w:name w:val="Bulleted List"/>
    <w:basedOn w:val="Normal"/>
    <w:qFormat/>
    <w:rsid w:val="00192FF6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72.50.0.5\PP_Journals\2_Copyediting\CDC-College%20Digital%20Content\CDC%20Word%20Fi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CDC Word File Template</Template>
  <TotalTime>1</TotalTime>
  <Pages>4</Pages>
  <Words>918</Words>
  <Characters>5235</Characters>
  <Application>Microsoft Office Word</Application>
  <DocSecurity>0</DocSecurity>
  <Lines>43</Lines>
  <Paragraphs>12</Paragraphs>
  <ScaleCrop>false</ScaleCrop>
  <Company>Microsoft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Meiyazhagi Anandan</dc:creator>
  <cp:keywords/>
  <dc:description/>
  <cp:lastModifiedBy>Meiyazhagi Anandan</cp:lastModifiedBy>
  <cp:revision>5</cp:revision>
  <dcterms:created xsi:type="dcterms:W3CDTF">2019-12-10T08:09:00Z</dcterms:created>
  <dcterms:modified xsi:type="dcterms:W3CDTF">2019-12-10T10:36:00Z</dcterms:modified>
</cp:coreProperties>
</file>