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B8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MEC GROUP</w:t>
            </w:r>
          </w:p>
          <w:p>
            <w:r>
              <w:rPr>
                <w:rFonts w:ascii="Arial" w:cs="Arial" w:eastAsia="Arial" w:hAnsi="Arial"/>
                <w:color w:val="FFF176"/>
                <w:sz w:val="14"/>
                <w:szCs w:val="14"/>
              </w:rPr>
              <w:t xml:space="preserve">MODERN ENGINEERING &amp; CONSTRUCTION LLC  ·  FLORIDA INSURED &amp; BONDED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FFF176"/>
                <w:sz w:val="14"/>
                <w:szCs w:val="14"/>
              </w:rPr>
              <w:t xml:space="preserve">POWERED BY  PROJEX.live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B800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MARKETING SERVICES AGREEMENT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176"/>
                <w:sz w:val="14"/>
                <w:szCs w:val="14"/>
              </w:rPr>
              <w:t xml:space="preserve">RETAINER &amp; CAMPAIGN SCHEDULE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AGREEMENT FOR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51st State Roofing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DATE ISSUED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May 18, 2026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PREPARED BY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MEC Group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DOCUMENT NO.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MEC-MKT-51SR-2026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AGREEMENT TYPE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Marketing Retainer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JURISDICTION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 of Florida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This agreement establishes the marketing services relationship between Modern Engineering &amp; Construction LLC (MEC Group) and 51st State Roofing. MEC Group serves as the end-to-end marketing infrastructure partner — managing the digital foundation, lead intake, customer service, and campaign coordination with RevXperts. All lead activity is tracked live through PROJEX.live.</w:t>
      </w:r>
    </w:p>
    <w:p>
      <w:pPr>
        <w:pBdr>
          <w:bottom w:val="single" w:color="FFD600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 E C T I O N   1   —   S C O P E   O F   S E R V I C E 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Website Build &amp; Hosting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51stateroofing.com — commercial landing pages built and deployed on Vercel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Google Business Profile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GBP setup, category optimization, and review management for local commercial search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CallRail Setup &amp; Management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Dedicated tracking numbers per source. All calls recorded, logged, and attributed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Google Analytics 4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GA4 property, conversion events, and Google Ads link — full site behavior visibility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Projex Lead Intake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Automated pipeline: form fills and calls routed into Projex CRM in real time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Customer Service Rep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Dedicated CSR handling inbound calls, lead qualification, and inspection booking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RevXperts Coordination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MEC manages reporting, lead quality feedback, and vendor accountability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B800"/>
                <w:sz w:val="18"/>
                <w:szCs w:val="18"/>
              </w:rPr>
              <w:t xml:space="preserve">✓  Weekly Reporting</w:t>
            </w:r>
          </w:p>
        </w:tc>
        <w:tc>
          <w:tcPr>
            <w:tcW w:type="dxa" w:w="6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Lead volume, cost per lead, inspection rate, and close ratio delivered to 51st State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FFD600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 E C T I O N   2   —   P R I C I N G   &amp;   L A U N C H   T I M E L I N 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 1 — Foundation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May 18 – Jun 18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$3,750 (MEC)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Site, GBP, CallRail, GA4, Projex live. CSR active + outbound. RevXperts setup in parallel at no charge. Target: 3–5 inspections.</w:t>
            </w:r>
          </w:p>
        </w:tc>
      </w:tr>
      <w:tr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 2 — Launch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Jun 18 – Jul 18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$10,750 all-in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Campaigns go live. $3,750 MEC + $3,500 RevXperts + $3,500 ad spend min. Target: 8–12 leads, 4–6 inspections.</w:t>
            </w:r>
          </w:p>
        </w:tc>
      </w:tr>
      <w:tr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Month 3+ — Full Run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Jul 18 onward</w:t>
            </w:r>
          </w:p>
        </w:tc>
        <w:tc>
          <w:tcPr>
            <w:tcW w:type="dxa" w:w="20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$10,750+/mo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Scale ad spend with data. Renegotiate as volume proves out.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MEC GROUP — MONTH 1 INVOICE</w:t>
            </w:r>
          </w:p>
          <w:p>
            <w:r>
              <w:rPr>
                <w:rFonts w:ascii="Arial" w:cs="Arial" w:eastAsia="Arial" w:hAnsi="Arial"/>
                <w:color w:val="404040"/>
                <w:sz w:val="16"/>
                <w:szCs w:val="16"/>
              </w:rPr>
              <w:t xml:space="preserve">Website  ·  GBP  ·  CallRail  ·  GA4  ·  Projex Automation  ·  CSR Coverage  ·  RevXperts Coordination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B8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$3,750.00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176"/>
                <w:sz w:val="14"/>
                <w:szCs w:val="14"/>
              </w:rPr>
              <w:t xml:space="preserve">DUE UPON EXECUTION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FFD600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 E C T I O N   3   —   A N N U A L   P E R F O R M A N C E   M O D E L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Projected annual business outcome for 51st State Roofing under this marketing structure. All figures are targets based on agreed campaign assumptions.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080"/>
      </w:tblGrid>
      <w:tr>
        <w:trPr>
          <w:tblHeader/>
        </w:trPr>
        <w:tc>
          <w:tcPr>
            <w:tcW w:type="dxa" w:w="3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Monthly inspections</w:t>
            </w:r>
          </w:p>
        </w:tc>
        <w:tc>
          <w:tcPr>
            <w:tcW w:type="dxa" w:w="2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20–30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 + Google Ads inbound</w:t>
            </w:r>
          </w:p>
        </w:tc>
      </w:tr>
      <w:tr>
        <w:tc>
          <w:tcPr>
            <w:tcW w:type="dxa" w:w="3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Close ratio (minimum)</w:t>
            </w:r>
          </w:p>
        </w:tc>
        <w:tc>
          <w:tcPr>
            <w:tcW w:type="dxa" w:w="2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20%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4–6 contracts per month</w:t>
            </w:r>
          </w:p>
        </w:tc>
      </w:tr>
      <w:tr>
        <w:tc>
          <w:tcPr>
            <w:tcW w:type="dxa" w:w="3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Average ticket size</w:t>
            </w:r>
          </w:p>
        </w:tc>
        <w:tc>
          <w:tcPr>
            <w:tcW w:type="dxa" w:w="2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$85,000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Commercial roofing — South Florida</w:t>
            </w:r>
          </w:p>
        </w:tc>
      </w:tr>
      <w:tr>
        <w:tc>
          <w:tcPr>
            <w:tcW w:type="dxa" w:w="3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Monthly revenue target</w:t>
            </w:r>
          </w:p>
        </w:tc>
        <w:tc>
          <w:tcPr>
            <w:tcW w:type="dxa" w:w="2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$350k–$500k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closes x $85k avg</w:t>
            </w:r>
          </w:p>
        </w:tc>
      </w:tr>
      <w:tr>
        <w:tc>
          <w:tcPr>
            <w:tcW w:type="dxa" w:w="3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Annual gross revenue</w:t>
            </w:r>
          </w:p>
        </w:tc>
        <w:tc>
          <w:tcPr>
            <w:tcW w:type="dxa" w:w="250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$4,000,000</w:t>
            </w:r>
          </w:p>
        </w:tc>
        <w:tc>
          <w:tcPr>
            <w:tcW w:type="dxa" w:w="408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rPr>
          <w:tblHeader/>
        </w:trP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 SUMMARY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REVENUE</w:t>
            </w:r>
          </w:p>
        </w:tc>
      </w:tr>
      <w:t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Marketing (MEC + RevXperts + ad spend)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$150,000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3.75%</w:t>
            </w:r>
          </w:p>
        </w:tc>
      </w:tr>
      <w:t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Inspections (field packages, yearly avg)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$50,000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1.25%</w:t>
            </w:r>
          </w:p>
        </w:tc>
      </w:tr>
      <w:t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Cost of Goods (materials + labor)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$2,500,000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62.5%</w:t>
            </w:r>
          </w:p>
        </w:tc>
      </w:tr>
      <w:t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Commissions (PM + superintendents)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$200,000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Company Overhead (51st GC)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$200,000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COSTS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$3,100,000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77.5%</w:t>
            </w:r>
          </w:p>
        </w:tc>
      </w:tr>
      <w:tr>
        <w:tc>
          <w:tcPr>
            <w:tcW w:type="dxa" w:w="504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PROFIT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$900,000</w:t>
            </w:r>
          </w:p>
        </w:tc>
        <w:tc>
          <w:tcPr>
            <w:tcW w:type="dxa" w:w="2520"/>
            <w:tcBorders>
              <w:top w:val="single" w:color="FFD600" w:sz="1"/>
              <w:left w:val="single" w:color="FFD600" w:sz="1"/>
              <w:bottom w:val="single" w:color="FFD600" w:sz="1"/>
              <w:right w:val="single" w:color="FFD600" w:sz="1"/>
            </w:tcBorders>
            <w:shd w:fill="E6B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22.5%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FFD600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 E C T I O N   4   —   T E R M S   &amp;   C O N D I T I O N 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1. Retainer: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MEC Group's $3,750/month retainer covers all services in Section 1 and is due on the 1st of each month upon execution.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2. Fee Activation: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MEC Group's management fee is active from Month 1. RevXperts' retainer begins Month 2 when campaigns go live. Ad spend is coordinated separately.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3. Lead Ownership: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All leads — form fills, calls, and Projex records — are owned by 51st State Roofing. MEC holds no claim to leads or client data.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4. Platform Access: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51st State Roofing receives a Projex partner login within 7 days of execution with live access to all lead activity and reporting.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5. Term &amp; Termination: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Month-to-month. Either party may terminate with 30 days written notice. All outstanding invoices remain due upon termination.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6. Dispute Resolution:  </w:t>
      </w:r>
      <w:r>
        <w:rPr>
          <w:rFonts w:ascii="Arial" w:cs="Arial" w:eastAsia="Arial" w:hAnsi="Arial"/>
          <w:color w:val="404040"/>
          <w:sz w:val="18"/>
          <w:szCs w:val="18"/>
        </w:rPr>
        <w:t xml:space="preserve">Good-faith negotiation first. If unresolved within 30 days, binding arbitration under Florida law in Miami-Dade County.</w:t>
      </w:r>
    </w:p>
    <w:p>
      <w:pPr>
        <w:spacing w:after="20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0"/>
        <w:gridCol w:w="400"/>
        <w:gridCol w:w="4840"/>
      </w:tblGrid>
      <w:t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51ST STATE ROOFING — AUTHORIZED REPRESENTATIVE</w:t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pBdr>
                <w:bottom w:val="single" w:color="E6B800" w:sz="4"/>
              </w:pBdr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Print Name &amp; Title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Bdr>
                <w:bottom w:val="single" w:color="E6B800" w:sz="4"/>
              </w:pBdr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Signature &amp; 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B8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MODERN ENGINEERING &amp; CONSTRUCTION LLC (MEC GROUP)</w:t>
            </w:r>
          </w:p>
          <w:p>
            <w:pPr>
              <w:spacing w:after="120" w:before="120"/>
            </w:pPr>
            <w:r>
              <w:t xml:space="preserve"/>
            </w:r>
          </w:p>
          <w:p>
            <w:pPr>
              <w:pBdr>
                <w:bottom w:val="single" w:color="FFF176" w:sz="4"/>
              </w:pBdr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FFF176"/>
                <w:sz w:val="16"/>
                <w:szCs w:val="16"/>
              </w:rPr>
              <w:t xml:space="preserve">Ethan Hinds  ·  Principal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pBdr>
                <w:bottom w:val="single" w:color="FFF176" w:sz="4"/>
              </w:pBdr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 </w:t>
            </w:r>
          </w:p>
          <w:p>
            <w:r>
              <w:rPr>
                <w:rFonts w:ascii="Arial" w:cs="Arial" w:eastAsia="Arial" w:hAnsi="Arial"/>
                <w:color w:val="FFF176"/>
                <w:sz w:val="16"/>
                <w:szCs w:val="16"/>
              </w:rPr>
              <w:t xml:space="preserve">May 18, 2026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FFD600" w:sz="4" w:space="4"/>
        </w:pBdr>
        <w:spacing w:before="12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MODERN ENGINEERING &amp; CONSTRUCTION LLC  ·  MEC GROUP  ·  FLORIDA INSURED &amp; BONDED  ·  PROJEX.LIVE  ·  MEC-MKT-51SR-2026  ·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2026-05-19T01:44:30.663Z</dcterms:created>
  <dcterms:modified xsi:type="dcterms:W3CDTF">2026-05-19T01:44:30.677Z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