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hd w:fill="1F3864" w:val="clear"/>
        <w:spacing w:after="200" w:before="200"/>
        <w:ind w:left="720" w:right="720"/>
        <w:jc w:val="center"/>
      </w:pPr>
      <w:r>
        <w:rPr>
          <w:rFonts w:ascii="Arial" w:cs="Arial" w:eastAsia="Arial" w:hAnsi="Arial"/>
          <w:b/>
          <w:bCs/>
          <w:color w:val="FFFFFF"/>
          <w:sz w:val="44"/>
          <w:szCs w:val="44"/>
        </w:rPr>
        <w:t xml:space="preserve">RESEARCH PLAN &amp; MANUSCRIPT REVIEW</w:t>
      </w:r>
    </w:p>
    <w:p>
      <w:pPr>
        <w:spacing w:after="80" w:before="120"/>
        <w:jc w:val="center"/>
      </w:pPr>
      <w:r>
        <w:rPr>
          <w:rFonts w:ascii="Arial" w:cs="Arial" w:eastAsia="Arial" w:hAnsi="Arial"/>
          <w:b/>
          <w:bCs/>
          <w:color w:val="1F3864"/>
          <w:sz w:val="28"/>
          <w:szCs w:val="28"/>
        </w:rPr>
        <w:t xml:space="preserve">Determinants of eHealth Systems Adoption:</w:t>
      </w:r>
    </w:p>
    <w:p>
      <w:pPr>
        <w:spacing w:after="200" w:before="0"/>
        <w:jc w:val="center"/>
      </w:pPr>
      <w:r>
        <w:rPr>
          <w:rFonts w:ascii="Arial" w:cs="Arial" w:eastAsia="Arial" w:hAnsi="Arial"/>
          <w:color w:val="2E75B6"/>
          <w:sz w:val="26"/>
          <w:szCs w:val="26"/>
        </w:rPr>
        <w:t xml:space="preserve">A Systematic Review and Multi-Case Analysis</w:t>
      </w:r>
    </w:p>
    <w:p>
      <w:pPr>
        <w:pBdr>
          <w:top w:val="single" w:color="2E75B6" w:sz="4"/>
          <w:bottom w:val="single" w:color="2E75B6" w:sz="4"/>
        </w:pBdr>
        <w:spacing w:after="120" w:before="120"/>
        <w:jc w:val="center"/>
      </w:pPr>
      <w:r>
        <w:rPr>
          <w:rFonts w:ascii="Arial" w:cs="Arial" w:eastAsia="Arial" w:hAnsi="Arial"/>
          <w:color w:val="444444"/>
          <w:sz w:val="20"/>
          <w:szCs w:val="20"/>
        </w:rPr>
        <w:t>Prepared for: Joshua Adams, D.I.T.  |  Date: April 29, 2026</w:t>
      </w:r>
    </w:p>
    <w:p>
      <w:r>
        <w:rPr>
          <w:i/>
        </w:rPr>
        <w:t>Update note (post-revision): The manuscript has been substantively revised since this plan was drafted. Stub sections (Introduction, Background, Conclusion, Abstract) have been expanded; the formal search strategy is documented in notes/search-strategy.md and Supplementary File S1; PRISMA Figure 1 and Table 2 counts have been synchronised with the seed-set tracker (prisma/prisma-counts.xlsx). Submission target updated to IJMI Reviews article type (4,000-word full-text limit). Status assessments below reflect the pre-revision state and are retained as a historical record.</w:t>
      </w:r>
    </w:p>
    <w:p>
      <w:pPr>
        <w:spacing w:after="0" w:before="6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~85%</w:t>
            </w:r>
          </w:p>
          <w:p>
            <w:pPr>
              <w:jc w:val="center"/>
            </w:pPr>
            <w:r>
              <w:rPr>
                <w:rFonts w:ascii="Arial" w:cs="Arial" w:eastAsia="Arial" w:hAnsi="Arial"/>
                <w:color w:val="555555"/>
                <w:sz w:val="18"/>
                <w:szCs w:val="18"/>
              </w:rPr>
              <w:t xml:space="preserve">Manuscript Complete</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17</w:t>
            </w:r>
          </w:p>
          <w:p>
            <w:pPr>
              <w:jc w:val="center"/>
            </w:pPr>
            <w:r>
              <w:rPr>
                <w:rFonts w:ascii="Arial" w:cs="Arial" w:eastAsia="Arial" w:hAnsi="Arial"/>
                <w:color w:val="555555"/>
                <w:sz w:val="18"/>
                <w:szCs w:val="18"/>
              </w:rPr>
              <w:t xml:space="preserve">Evidence Sources</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4</w:t>
            </w:r>
          </w:p>
          <w:p>
            <w:pPr>
              <w:jc w:val="center"/>
            </w:pPr>
            <w:r>
              <w:rPr>
                <w:rFonts w:ascii="Arial" w:cs="Arial" w:eastAsia="Arial" w:hAnsi="Arial"/>
                <w:color w:val="555555"/>
                <w:sz w:val="18"/>
                <w:szCs w:val="18"/>
              </w:rPr>
              <w:t xml:space="preserve">Case Studies</w:t>
            </w:r>
          </w:p>
        </w:tc>
        <w:tc>
          <w:tcPr>
            <w:tcW w:type="dxa" w:w="2340"/>
            <w:tcBorders>
              <w:top w:val="single" w:color="2E75B6" w:sz="1"/>
              <w:left w:val="single" w:color="2E75B6" w:sz="1"/>
              <w:bottom w:val="single" w:color="2E75B6" w:sz="1"/>
              <w:right w:val="single" w:color="2E75B6" w:sz="1"/>
            </w:tcBorders>
            <w:shd w:fill="D6E4F0" w:val="clear"/>
            <w:tcMar>
              <w:top w:type="dxa" w:w="120"/>
              <w:left w:type="dxa" w:w="180"/>
              <w:bottom w:type="dxa" w:w="120"/>
              <w:right w:type="dxa" w:w="180"/>
            </w:tcMar>
            <w:vAlign w:val="center"/>
          </w:tcPr>
          <w:p>
            <w:pPr>
              <w:jc w:val="center"/>
            </w:pPr>
            <w:r>
              <w:rPr>
                <w:rFonts w:ascii="Arial" w:cs="Arial" w:eastAsia="Arial" w:hAnsi="Arial"/>
                <w:b/>
                <w:bCs/>
                <w:color w:val="1F3864"/>
                <w:sz w:val="36"/>
                <w:szCs w:val="36"/>
              </w:rPr>
              <w:t xml:space="preserve">5</w:t>
            </w:r>
          </w:p>
          <w:p>
            <w:pPr>
              <w:jc w:val="center"/>
            </w:pPr>
            <w:r>
              <w:rPr>
                <w:rFonts w:ascii="Arial" w:cs="Arial" w:eastAsia="Arial" w:hAnsi="Arial"/>
                <w:color w:val="555555"/>
                <w:sz w:val="18"/>
                <w:szCs w:val="18"/>
              </w:rPr>
              <w:t xml:space="preserve">Journal Options</w:t>
            </w:r>
          </w:p>
        </w:tc>
      </w:tr>
    </w:tbl>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1.  Executive Summary</w:t>
      </w:r>
    </w:p>
    <w:p>
      <w:pPr>
        <w:spacing w:after="60" w:before="60"/>
      </w:pPr>
      <w:r>
        <w:t xml:space="preserve"/>
      </w:r>
    </w:p>
    <w:p>
      <w:pPr>
        <w:spacing w:after="100" w:before="80" w:line="280"/>
        <w:jc w:val="both"/>
      </w:pPr>
      <w:r>
        <w:rPr>
          <w:rFonts w:ascii="Arial" w:cs="Arial" w:eastAsia="Arial" w:hAnsi="Arial"/>
          <w:color w:val="000000"/>
          <w:sz w:val="20"/>
          <w:szCs w:val="20"/>
        </w:rPr>
        <w:t xml:space="preserve">This research plan provides a structured assessment of the eHealth Systems Adoption Systematic Review manuscript and outlines the steps required to advance it to journal submission. The study integrates a PRISMA-based systematic review with a comparative multi-case analysis of four national eHealth implementations, organized around the novel U-T-I-O Model (User Readiness, Technical Interoperability, Institutional Alignment, Organizational Execution).</w:t>
      </w:r>
    </w:p>
    <w:p>
      <w:pPr>
        <w:spacing w:after="60" w:before="60"/>
      </w:pPr>
      <w:r>
        <w:t xml:space="preserve"/>
      </w:r>
    </w:p>
    <w:p>
      <w:pPr>
        <w:spacing w:after="100" w:before="80" w:line="280"/>
        <w:jc w:val="both"/>
      </w:pPr>
      <w:r>
        <w:rPr>
          <w:rFonts w:ascii="Arial" w:cs="Arial" w:eastAsia="Arial" w:hAnsi="Arial"/>
          <w:color w:val="000000"/>
          <w:sz w:val="20"/>
          <w:szCs w:val="20"/>
        </w:rPr>
        <w:t xml:space="preserve">The manuscript is substantively advanced — all major sections exist and the theoretical and analytical core is solid. However, several sections are in stub or outline form and require significant expansion before the manuscript reaches submission quality. The primary areas requiring work are the Introduction, Background, Methods, and Conclusion sections, which collectively represent thin drafts of 1–3 sentences each.</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 xml:space="preserve">The U-T-I-O Model is the central intellectual contribution of this work. Every editorial decision — which sections to expand, which journal to target, how to frame the discussion — should protect and highlight this contribution.</w:t>
      </w:r>
    </w:p>
    <w:p>
      <w:pPr>
        <w:spacing w:after="60" w:before="60"/>
      </w:pPr>
      <w:r>
        <w:t xml:space="preserve"/>
      </w:r>
    </w:p>
    <w:p>
      <w:pPr>
        <w:spacing w:after="100" w:before="80" w:line="280"/>
        <w:jc w:val="both"/>
      </w:pPr>
      <w:r>
        <w:rPr>
          <w:rFonts w:ascii="Arial" w:cs="Arial" w:eastAsia="Arial" w:hAnsi="Arial"/>
          <w:b/>
          <w:bCs/>
          <w:color w:val="000000"/>
          <w:sz w:val="20"/>
          <w:szCs w:val="20"/>
        </w:rPr>
        <w:t xml:space="preserve">Key priorities for this phase of work:</w:t>
      </w:r>
    </w:p>
    <w:p>
      <w:pPr>
        <w:pStyle w:val="ListParagraph"/>
        <w:numPr>
          <w:ilvl w:val="0"/>
          <w:numId w:val="2"/>
        </w:numPr>
        <w:spacing w:after="40" w:before="40" w:line="260"/>
      </w:pPr>
      <w:r>
        <w:rPr>
          <w:rFonts w:ascii="Arial" w:cs="Arial" w:eastAsia="Arial" w:hAnsi="Arial"/>
          <w:b w:val="false"/>
          <w:bCs w:val="false"/>
          <w:sz w:val="20"/>
          <w:szCs w:val="20"/>
        </w:rPr>
        <w:t xml:space="preserve">Expand Introduction from 1 paragraph to a full 600–900 word section establishing context, gap, and significance</w:t>
      </w:r>
    </w:p>
    <w:p>
      <w:pPr>
        <w:pStyle w:val="ListParagraph"/>
        <w:numPr>
          <w:ilvl w:val="0"/>
          <w:numId w:val="2"/>
        </w:numPr>
        <w:spacing w:after="40" w:before="40" w:line="260"/>
      </w:pPr>
      <w:r>
        <w:rPr>
          <w:rFonts w:ascii="Arial" w:cs="Arial" w:eastAsia="Arial" w:hAnsi="Arial"/>
          <w:b w:val="false"/>
          <w:bCs w:val="false"/>
          <w:sz w:val="20"/>
          <w:szCs w:val="20"/>
        </w:rPr>
        <w:t xml:space="preserve">Expand Background from 2 sentences to a full 700–1,000 word section developing DeLone &amp; McLean, TOE framework, and their synthesis into U-T-I-O</w:t>
      </w:r>
    </w:p>
    <w:p>
      <w:pPr>
        <w:pStyle w:val="ListParagraph"/>
        <w:numPr>
          <w:ilvl w:val="0"/>
          <w:numId w:val="2"/>
        </w:numPr>
        <w:spacing w:after="40" w:before="40" w:line="260"/>
      </w:pPr>
      <w:r>
        <w:rPr>
          <w:rFonts w:ascii="Arial" w:cs="Arial" w:eastAsia="Arial" w:hAnsi="Arial"/>
          <w:b w:val="false"/>
          <w:bCs w:val="false"/>
          <w:sz w:val="20"/>
          <w:szCs w:val="20"/>
        </w:rPr>
        <w:t xml:space="preserve">Formalize the PRISMA search strategy with actual database query strings</w:t>
      </w:r>
    </w:p>
    <w:p>
      <w:pPr>
        <w:pStyle w:val="ListParagraph"/>
        <w:numPr>
          <w:ilvl w:val="0"/>
          <w:numId w:val="2"/>
        </w:numPr>
        <w:spacing w:after="40" w:before="40" w:line="260"/>
      </w:pPr>
      <w:r>
        <w:rPr>
          <w:rFonts w:ascii="Arial" w:cs="Arial" w:eastAsia="Arial" w:hAnsi="Arial"/>
          <w:b w:val="false"/>
          <w:bCs w:val="false"/>
          <w:sz w:val="20"/>
          <w:szCs w:val="20"/>
        </w:rPr>
        <w:t xml:space="preserve">Expand Abstract to structured format (Background / Objective / Methods / Results / Conclusions)</w:t>
      </w:r>
    </w:p>
    <w:p>
      <w:pPr>
        <w:pStyle w:val="ListParagraph"/>
        <w:numPr>
          <w:ilvl w:val="0"/>
          <w:numId w:val="2"/>
        </w:numPr>
        <w:spacing w:after="40" w:before="40" w:line="260"/>
      </w:pPr>
      <w:r>
        <w:rPr>
          <w:rFonts w:ascii="Arial" w:cs="Arial" w:eastAsia="Arial" w:hAnsi="Arial"/>
          <w:b w:val="false"/>
          <w:bCs w:val="false"/>
          <w:sz w:val="20"/>
          <w:szCs w:val="20"/>
        </w:rPr>
        <w:t xml:space="preserve">Expand Conclusion from 2 sentences to a 350–500 word section with forward-looking implications</w:t>
      </w:r>
    </w:p>
    <w:p>
      <w:pPr>
        <w:pStyle w:val="ListParagraph"/>
        <w:numPr>
          <w:ilvl w:val="0"/>
          <w:numId w:val="2"/>
        </w:numPr>
        <w:spacing w:after="40" w:before="40" w:line="260"/>
      </w:pPr>
      <w:r>
        <w:rPr>
          <w:rFonts w:ascii="Arial" w:cs="Arial" w:eastAsia="Arial" w:hAnsi="Arial"/>
          <w:b w:val="false"/>
          <w:bCs w:val="false"/>
          <w:sz w:val="20"/>
          <w:szCs w:val="20"/>
        </w:rPr>
        <w:t xml:space="preserve">Target submission to International Journal of Medical Informatics or Health Informatics Journal (no mandatory APC)</w:t>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2.  Section-by-Section Manuscript Review</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table summarizes the current state of each manuscript section, with status ratings and specific revision notes.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c>
          <w:tcPr>
            <w:tcW w:type="dxa" w:w="1800"/>
            <w:tcBorders>
              <w:top w:val="none" w:color="FFFFFF" w:sz="0"/>
              <w:left w:val="none" w:color="FFFFFF" w:sz="0"/>
              <w:bottom w:val="none" w:color="FFFFFF" w:sz="0"/>
              <w:right w:val="none" w:color="FFFFFF" w:sz="0"/>
            </w:tcBorders>
            <w:shd w:fill="375623"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COMPLETE</w:t>
            </w:r>
          </w:p>
        </w:tc>
        <w:tc>
          <w:tcPr>
            <w:tcW w:type="dxa" w:w="1800"/>
            <w:tcBorders>
              <w:top w:val="none" w:color="FFFFFF" w:sz="0"/>
              <w:left w:val="none" w:color="FFFFFF" w:sz="0"/>
              <w:bottom w:val="none" w:color="FFFFFF" w:sz="0"/>
              <w:right w:val="none" w:color="FFFFFF" w:sz="0"/>
            </w:tcBorders>
            <w:shd w:fill="2E75B6"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NEEDS POLISH</w:t>
            </w:r>
          </w:p>
        </w:tc>
        <w:tc>
          <w:tcPr>
            <w:tcW w:type="dxa" w:w="1800"/>
            <w:tcBorders>
              <w:top w:val="none" w:color="FFFFFF" w:sz="0"/>
              <w:left w:val="none" w:color="FFFFFF" w:sz="0"/>
              <w:bottom w:val="none" w:color="FFFFFF" w:sz="0"/>
              <w:right w:val="none" w:color="FFFFFF" w:sz="0"/>
            </w:tcBorders>
            <w:shd w:fill="C55A11"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NEEDS EXPANSION</w:t>
            </w:r>
          </w:p>
        </w:tc>
        <w:tc>
          <w:tcPr>
            <w:tcW w:type="dxa" w:w="1800"/>
            <w:tcBorders>
              <w:top w:val="none" w:color="FFFFFF" w:sz="0"/>
              <w:left w:val="none" w:color="FFFFFF" w:sz="0"/>
              <w:bottom w:val="none" w:color="FFFFFF" w:sz="0"/>
              <w:right w:val="none" w:color="FFFFFF" w:sz="0"/>
            </w:tcBorders>
            <w:shd w:fill="C00000" w:val="clear"/>
            <w:tcMar>
              <w:top w:type="dxa" w:w="60"/>
              <w:left w:type="dxa" w:w="120"/>
              <w:bottom w:type="dxa" w:w="60"/>
              <w:right w:type="dxa" w:w="120"/>
            </w:tcMar>
          </w:tcPr>
          <w:p>
            <w:pPr>
              <w:jc w:val="center"/>
            </w:pPr>
            <w:r>
              <w:rPr>
                <w:rFonts w:ascii="Arial" w:cs="Arial" w:eastAsia="Arial" w:hAnsi="Arial"/>
                <w:b/>
                <w:bCs/>
                <w:color w:val="FFFFFF"/>
                <w:sz w:val="17"/>
                <w:szCs w:val="17"/>
              </w:rPr>
              <w:t xml:space="preserve">STUB</w:t>
            </w:r>
          </w:p>
        </w:tc>
        <w:tc>
          <w:tcPr>
            <w:tcW w:type="dxa" w:w="2160"/>
            <w:tcBorders>
              <w:top w:val="none" w:color="FFFFFF" w:sz="0"/>
              <w:left w:val="none" w:color="FFFFFF" w:sz="0"/>
              <w:bottom w:val="none" w:color="FFFFFF" w:sz="0"/>
              <w:right w:val="none" w:color="FFFFFF" w:sz="0"/>
            </w:tcBorders>
            <w:shd w:fill="F2F2F2" w:val="clear"/>
            <w:tcMar>
              <w:top w:type="dxa" w:w="60"/>
              <w:left w:type="dxa" w:w="120"/>
              <w:bottom w:type="dxa" w:w="60"/>
              <w:right w:type="dxa" w:w="120"/>
            </w:tcMar>
          </w:tcPr>
          <w:p>
            <w:pPr>
              <w:jc w:val="center"/>
            </w:pPr>
            <w:r>
              <w:rPr>
                <w:rFonts w:ascii="Arial" w:cs="Arial" w:eastAsia="Arial" w:hAnsi="Arial"/>
                <w:color w:val="555555"/>
                <w:sz w:val="17"/>
                <w:szCs w:val="17"/>
              </w:rPr>
              <w:t xml:space="preserve">Legend: Current status of each section</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tblHeader/>
        </w:trPr>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Section</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Status</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Assessment &amp; Revision Notes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Abstract</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 abstract is 4 sentences — functional but unstructured. Needs expansion to a structured abstract (~200–250 words) with labeled sections: Background, Objective, Methods, Results, Conclusions. Add specific numbers (17 sources, 4 cases, 3 databases). Most journals require structured abstracts.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Introduction</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Currently a single 3-sentence paragraph. This is the most critical gap. A submission-ready introduction requires: (1) global eHealth adoption context with data; (2) problem statement — why adoption remains inconsistent; (3) identification of the research gap in existing frameworks; (4) statement of study objectives and contributions; (5) roadmap of article structure. Target: 600–900 words.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Background &amp; Theory</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Currently 2 sentences. Needs full development of: DeLone &amp; McLean IS Success Model (2003) with its dimensions; TOE Framework (Tornatzky &amp; Fleischer, 1990) with technology/organization/environment contexts; synthesis of both into the U-T-I-O model; positioning relative to prior eHealth adoption literature. Target: 700–1,000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Research Questions</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Three RQs are clearly articulated and well-aligned with the U-T-I-O framework. No changes needed.</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Methods</w:t>
            </w:r>
          </w:p>
        </w:tc>
        <w:tc>
          <w:tcPr>
            <w:tcW w:type="dxa" w:w="1500"/>
            <w:tcBorders>
              <w:top w:val="single" w:color="CCCCCC" w:sz="1"/>
              <w:left w:val="single" w:color="CCCCCC" w:sz="1"/>
              <w:bottom w:val="single" w:color="CCCCCC" w:sz="1"/>
              <w:right w:val="single" w:color="CCCCCC" w:sz="1"/>
            </w:tcBorders>
            <w:shd w:fill="C55A11"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EXPANSION</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Structure is solid (PRISMA, inclusion/exclusion, cases, model). Needs: (1) formal search query strings for PubMed, IEEE Xplore, and Scopus; (2) narrative PRISMA flow count (placeholder figures need resolution); (3) data extraction procedure description; (4) inter-rater reliability or quality assessment statement; (5) rationale for case selection. Target: add ~400–600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Results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The core content is present: four-domain synthesis and case comparison table are solid. Needs: (1) opening paragraph quantifying the evidence base; (2) more narrative depth on each UTIO domain; (3) explicit connection between systematic review findings and case findings; (4) transition into synthesis section. Target: add ~300–400 words.</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Discussion</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The strongest section. Market dynamics, ethical alignment, theoretical perspective, and practical implications are all well-developed. Minor polish only: ensure all cross-references to tables are present; add 1–2 sentences explicitly connecting back to each research question.</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Limitations</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Present but minimal (3 sentences). Add: (1) English-language bias limitation; (2) reliance on publicly available case documentation; (3) potential for confirmatory bias in framework application; (4) generalizability statement. Target: 150–200 words total.</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Conclusion</w:t>
            </w:r>
          </w:p>
        </w:tc>
        <w:tc>
          <w:tcPr>
            <w:tcW w:type="dxa" w:w="15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STUB</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Currently 2 sentences. Needs: (1) restatement of study purpose; (2) summary of U-T-I-O model findings; (3) key practical takeaways for each domain; (4) research implications and future directions (AI-enabled diagnostics bridge); (5) closing statement. Target: 350–500 words.</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Ethics &amp; Compliance</w:t>
            </w:r>
          </w:p>
        </w:tc>
        <w:tc>
          <w:tcPr>
            <w:tcW w:type="dxa" w:w="1500"/>
            <w:tcBorders>
              <w:top w:val="single" w:color="CCCCCC" w:sz="1"/>
              <w:left w:val="single" w:color="CCCCCC" w:sz="1"/>
              <w:bottom w:val="single" w:color="CCCCCC" w:sz="1"/>
              <w:right w:val="single" w:color="CCCCCC" w:sz="1"/>
            </w:tcBorders>
            <w:shd w:fill="37562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COMPLETE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Well-developed. HIPAA, HITECH, NIST alignment clearly documented. IRB exemption properly justified. No changes needed.</w:t>
            </w:r>
          </w:p>
        </w:tc>
      </w:tr>
      <w:tr>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References (.bib)</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NEEDS POLISH</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19 entries present. Verify: (1) all in-text citations have a matching .bib entry; (2) Adler-Milstein (2023) entry is incomplete — missing volume/pages; (3) Holmes et al. (2016) entry is incomplete — missing volume/pages; (4) Bossen et al. (2013) is in .bib but may not be cited in text.</w:t>
            </w:r>
          </w:p>
        </w:tc>
      </w:tr>
    </w:tbl>
    <w:p>
      <w:pPr>
        <w:spacing w:after="60" w:before="60"/>
      </w:pPr>
      <w:r>
        <w:t xml:space="preserve"/>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3.  Formal PRISMA Search Strategy</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section documents the planned systematic search strategy across three databases. These queries should be executed in the order listed, with results exported to a reference manager (e.g., Zotero or Mendeley) for deduplication before title/abstract screening begins.</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Note: The PRISMA flow counts in the manuscript have been updated to align with the seed-set tracker (424 identified → 394 unique → 41 full-text assessed → 17 retained, plus 4 cases). These remain seed-set estimates pending formal database execution; the figures will be refreshed once the formal search is run.ctions in the manuscript, with an explicit footnote or methods note acknowledging that final counts will be reported post-search. Alternatively, this may be framed as a registered systematic review protocol.</w:t>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3.1  Database Search Queries</w:t>
      </w:r>
    </w:p>
    <w:p>
      <w:pPr>
        <w:pStyle w:val="Heading3"/>
        <w:spacing w:after="80" w:before="200"/>
      </w:pPr>
      <w:r>
        <w:rPr>
          <w:rFonts w:ascii="Arial" w:cs="Arial" w:eastAsia="Arial" w:hAnsi="Arial"/>
          <w:b/>
          <w:bCs/>
          <w:color w:val="2E75B6"/>
          <w:sz w:val="22"/>
          <w:szCs w:val="22"/>
        </w:rPr>
        <w:t xml:space="preserve">PubMed / MEDLINE</w:t>
      </w:r>
    </w:p>
    <w:p>
      <w:pPr>
        <w:spacing w:after="100" w:before="80" w:line="280"/>
        <w:jc w:val="both"/>
      </w:pPr>
      <w:r>
        <w:rPr>
          <w:rFonts w:ascii="Arial" w:cs="Arial" w:eastAsia="Arial" w:hAnsi="Arial"/>
          <w:color w:val="000000"/>
          <w:sz w:val="20"/>
          <w:szCs w:val="20"/>
        </w:rPr>
        <w:t xml:space="preserve">Recommended query using MeSH terms and title/abstract fields:</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("electronic health record"[MeSH Terms] OR "electronic health records"[MeSH Terms] OR "medical records systems, computerized"[MeSH Terms] OR "health information exchange"[MeSH Terms] OR "EHR"[Title/Abstract] OR "electronic medical record*"[Title/Abstract] OR "health information exchange"[Title/Abstract] OR "HIE"[Title/Abstract] OR "eHealth"[Title/Abstract] OR "e-health"[Title/Abstract] OR "digital health"[Title/Abstract] OR "health information technology"[Title/Abstract] OR "HIT"[Title/Abstract] OR "interoperability"[Title/Abstract]) AND ("adoption"[Title/Abstract] OR "implementation"[Title/Abstract] OR "acceptance"[Title/Abstract] OR "barrier*"[Title/Abstract] OR "facilitator*"[Title/Abstract] OR "determinant*"[Title/Abstract] OR "success factor*"[Title/Abstract] OR "critical success factor*"[Title/Abstract] OR "uptake"[Title/Abstract]) AND ("2015/01/01"[PDAT] : "2026/12/31"[PDAT])</w:t>
      </w:r>
    </w:p>
    <w:p>
      <w:pPr>
        <w:spacing w:after="60" w:before="60"/>
      </w:pPr>
      <w:r>
        <w:t xml:space="preserve"/>
      </w:r>
    </w:p>
    <w:p>
      <w:pPr>
        <w:spacing w:after="100" w:before="80" w:line="280"/>
        <w:jc w:val="both"/>
      </w:pPr>
      <w:r>
        <w:rPr>
          <w:rFonts w:ascii="Arial" w:cs="Arial" w:eastAsia="Arial" w:hAnsi="Arial"/>
          <w:color w:val="000000"/>
          <w:sz w:val="20"/>
          <w:szCs w:val="20"/>
        </w:rPr>
        <w:t xml:space="preserve">Filters to apply in PubMed interface: Publication type = Journal Article; Language = English. Expected yield: ~1,500–3,500 records.</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IEEE Xplore</w:t>
      </w:r>
    </w:p>
    <w:p>
      <w:pPr>
        <w:spacing w:after="100" w:before="80" w:line="280"/>
        <w:jc w:val="both"/>
      </w:pPr>
      <w:r>
        <w:rPr>
          <w:rFonts w:ascii="Arial" w:cs="Arial" w:eastAsia="Arial" w:hAnsi="Arial"/>
          <w:color w:val="000000"/>
          <w:sz w:val="20"/>
          <w:szCs w:val="20"/>
        </w:rPr>
        <w:t xml:space="preserve">Recommended query using IEEE full-text search:</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("Full Text &amp; Metadata": "electronic health record" OR "EHR" OR "electronic medical record" OR "health information exchange" OR "HIE" OR "eHealth" OR "e-health" OR "digital health" OR "health information technology" OR "interoperability") AND ("Full Text &amp; Metadata": "adoption" OR "implementation" OR "acceptance" OR "barriers" OR "facilitators" OR "determinants" OR "success factors" OR "uptake") AND (Publication Year: 2015 to 2026)</w:t>
      </w:r>
    </w:p>
    <w:p>
      <w:pPr>
        <w:spacing w:after="60" w:before="60"/>
      </w:pPr>
      <w:r>
        <w:t xml:space="preserve"/>
      </w:r>
    </w:p>
    <w:p>
      <w:pPr>
        <w:spacing w:after="100" w:before="80" w:line="280"/>
        <w:jc w:val="both"/>
      </w:pPr>
      <w:r>
        <w:rPr>
          <w:rFonts w:ascii="Arial" w:cs="Arial" w:eastAsia="Arial" w:hAnsi="Arial"/>
          <w:color w:val="000000"/>
          <w:sz w:val="20"/>
          <w:szCs w:val="20"/>
        </w:rPr>
        <w:t xml:space="preserve">Filter to: Journals and Conference Papers only. Expected yield: ~300–800 records.</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Scopus</w:t>
      </w:r>
    </w:p>
    <w:p>
      <w:pPr>
        <w:spacing w:after="100" w:before="80" w:line="280"/>
        <w:jc w:val="both"/>
      </w:pPr>
      <w:r>
        <w:rPr>
          <w:rFonts w:ascii="Arial" w:cs="Arial" w:eastAsia="Arial" w:hAnsi="Arial"/>
          <w:color w:val="000000"/>
          <w:sz w:val="20"/>
          <w:szCs w:val="20"/>
        </w:rPr>
        <w:t xml:space="preserve">Recommended query using TITLE-ABS-KEY field search:</w:t>
      </w:r>
    </w:p>
    <w:p>
      <w:pPr>
        <w:spacing w:after="60" w:before="60"/>
      </w:pPr>
      <w:r>
        <w:t xml:space="preserve"/>
      </w:r>
    </w:p>
    <w:p>
      <w:pPr>
        <w:pBdr>
          <w:left w:val="single" w:color="1F3864" w:sz="8"/>
        </w:pBdr>
        <w:shd w:fill="F5F5F5" w:val="clear"/>
        <w:spacing w:after="100" w:before="100" w:line="260"/>
        <w:ind w:left="360" w:right="360"/>
      </w:pPr>
      <w:r>
        <w:rPr>
          <w:rFonts w:ascii="Courier New" w:cs="Courier New" w:eastAsia="Courier New" w:hAnsi="Courier New"/>
          <w:color w:val="1A1A1A"/>
          <w:sz w:val="17"/>
          <w:szCs w:val="17"/>
        </w:rPr>
        <w:t xml:space="preserve">TITLE-ABS-KEY ( "electronic health record" OR "EHR" OR "electronic medical record" OR "health information exchange" OR "HIE" OR "eHealth" OR "e-health" OR "digital health" OR "health information technology" OR "interoperability" ) AND TITLE-ABS-KEY ( "adoption" OR "implementation" OR "acceptance" OR "barriers" OR "facilitators" OR "determinants" OR "success factors" OR "uptake" ) AND PUBYEAR &gt; 2014 AND PUBYEAR &lt; 2027 AND DOCTYPE ( ar OR re ) AND LANGUAGE ( english )</w:t>
      </w:r>
    </w:p>
    <w:p>
      <w:pPr>
        <w:spacing w:after="60" w:before="60"/>
      </w:pPr>
      <w:r>
        <w:t xml:space="preserve"/>
      </w:r>
    </w:p>
    <w:p>
      <w:pPr>
        <w:spacing w:after="100" w:before="80" w:line="280"/>
        <w:jc w:val="both"/>
      </w:pPr>
      <w:r>
        <w:rPr>
          <w:rFonts w:ascii="Arial" w:cs="Arial" w:eastAsia="Arial" w:hAnsi="Arial"/>
          <w:color w:val="000000"/>
          <w:sz w:val="20"/>
          <w:szCs w:val="20"/>
        </w:rPr>
        <w:t xml:space="preserve">Limit to: Article (ar) and Review (re) document types; English language. Expected yield: ~1,200–2,500 records.</w:t>
      </w:r>
    </w:p>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3.2  Projected PRISMA Flow</w:t>
      </w:r>
    </w:p>
    <w:p>
      <w:pPr>
        <w:spacing w:after="60" w:before="60"/>
      </w:pPr>
      <w:r>
        <w:t xml:space="preserve"/>
      </w:r>
    </w:p>
    <w:p>
      <w:pPr>
        <w:spacing w:after="100" w:before="80" w:line="280"/>
        <w:jc w:val="both"/>
      </w:pPr>
      <w:r>
        <w:rPr>
          <w:rFonts w:ascii="Arial" w:cs="Arial" w:eastAsia="Arial" w:hAnsi="Arial"/>
          <w:color w:val="000000"/>
          <w:sz w:val="20"/>
          <w:szCs w:val="20"/>
        </w:rPr>
        <w:t xml:space="preserve">Based on typical search yields in health informatics systematic reviews, the following PRISMA flow is projected: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428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PRISMA Stage</w:t>
            </w:r>
          </w:p>
        </w:tc>
        <w:tc>
          <w:tcPr>
            <w:tcW w:type="dxa" w:w="2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Projected Count</w:t>
            </w:r>
          </w:p>
        </w:tc>
        <w:tc>
          <w:tcPr>
            <w:tcW w:type="dxa" w:w="42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Notes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PubMed records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~2,000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MeSH + keyword search, 2015–2026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IEEE Xplore records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~500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Full-text search, journals + conferences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Scopus records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~1,800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Title-abstract-keyword search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Total identified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bCs/>
                <w:color w:val="000000"/>
                <w:sz w:val="18"/>
                <w:szCs w:val="18"/>
              </w:rPr>
              <w:t xml:space="preserve">~4,300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Prior to deduplication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After deduplication</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~2,800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~35% duplication rate typical across these three databases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Title/abstract screening</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~2,800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Apply inclusion/exclusion criteria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Excluded at T/A screening</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~2,450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Not adoption-focused, not eHealth/HIT, opinion-only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Full-text retrieved</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~350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All passing T/A screening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Excluded at full-text</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~220</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Technical-only (no adoption determinants), duplicate findings, out-of-scope context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Included in synthesis</w:t>
            </w:r>
          </w:p>
        </w:tc>
        <w:tc>
          <w:tcPr>
            <w:tcW w:type="dxa" w:w="2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bCs/>
                <w:color w:val="000000"/>
                <w:sz w:val="18"/>
                <w:szCs w:val="18"/>
              </w:rPr>
              <w:t xml:space="preserve">~130</w:t>
            </w:r>
          </w:p>
        </w:tc>
        <w:tc>
          <w:tcPr>
            <w:tcW w:type="dxa" w:w="4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Literature sources + case documentation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Case studies (public docs)</w:t>
            </w:r>
          </w:p>
        </w:tc>
        <w:tc>
          <w:tcPr>
            <w:tcW w:type="dxa" w:w="2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bCs/>
                <w:color w:val="000000"/>
                <w:sz w:val="18"/>
                <w:szCs w:val="18"/>
              </w:rPr>
              <w:t xml:space="preserve">4</w:t>
            </w:r>
          </w:p>
        </w:tc>
        <w:tc>
          <w:tcPr>
            <w:tcW w:type="dxa" w:w="4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ONC, NHS, Estonia, VA/DoD — purposively selected</w:t>
            </w:r>
          </w:p>
        </w:tc>
      </w:tr>
    </w:tbl>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3.3  Inclusion / Exclusion Criteria (Formalized)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Type</w:t>
            </w:r>
          </w:p>
        </w:tc>
        <w:tc>
          <w:tcPr>
            <w:tcW w:type="dxa" w:w="4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Inclusion Criteria</w:t>
            </w:r>
          </w:p>
        </w:tc>
        <w:tc>
          <w:tcPr>
            <w:tcW w:type="dxa" w:w="40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Exclusion Criteria</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Study Design</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Peer-reviewed empirical studies; systematic reviews; scoping reviews; umbrella reviews; framework or model papers; government / institutional reports with empirical basis</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Opinion editorials; letters; conference abstracts without full methodology; book chapters without primary data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Topic</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eHealth, EHR, EMR, PHR, HIE, HIT, digital health, health informatics — adoption, implementation, barriers, facilitators, determinants, success factors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Non-healthcare IT systems; general IS adoption papers without healthcare context; purely technical papers without adoption outcomes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Date</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January 2015 – December 2026</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Published before 2015 (except foundational theory papers retained as background references)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Language</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English language publications</w:t>
            </w:r>
          </w:p>
        </w:tc>
        <w:tc>
          <w:tcPr>
            <w:tcW w:type="dxa" w:w="4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Non-English publications (language bias limitation acknowledged)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Data</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Publicly available, de-identified data; institutional reports without PHI; government audit reports</w:t>
            </w:r>
          </w:p>
        </w:tc>
        <w:tc>
          <w:tcPr>
            <w:tcW w:type="dxa" w:w="4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Studies involving primary collection of identifiable human subject data; clinical trial data; patient records</w:t>
            </w:r>
          </w:p>
        </w:tc>
      </w:tr>
    </w:tbl>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4.  Target Journal Recommendations</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journals are recommended based on: (1) fit with the study's mixed-methods systematic review design; (2) focus on health informatics, eHealth, and HIT; (3) no mandatory article processing charges (APC) — authors publish at no cost under the traditional subscription model unless they choose open access.</w:t>
      </w:r>
    </w:p>
    <w:p>
      <w:pPr>
        <w:spacing w:after="60" w:before="60"/>
      </w:pPr>
      <w:r>
        <w:t xml:space="preserve"/>
      </w:r>
    </w:p>
    <w:p>
      <w:pPr>
        <w:pBdr>
          <w:left w:val="single" w:color="2E75B6" w:sz="12"/>
        </w:pBdr>
        <w:shd w:fill="E3F2FD" w:val="clear"/>
        <w:spacing w:after="120" w:before="120" w:line="280"/>
        <w:ind w:left="360" w:right="360"/>
      </w:pPr>
      <w:r>
        <w:rPr>
          <w:rFonts w:ascii="Arial" w:cs="Arial" w:eastAsia="Arial" w:hAnsi="Arial"/>
          <w:color w:val="4A4A4A"/>
          <w:sz w:val="20"/>
          <w:szCs w:val="20"/>
        </w:rPr>
        <w:t xml:space="preserve">All journals below use the traditional subscription model, meaning there is no mandatory publication fee. Authors may optionally pay for open access, but this is not required for publication.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900"/>
        <w:gridCol w:w="1600"/>
        <w:gridCol w:w="24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Journal</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Publisher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Impact Factor</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Article Type</w:t>
            </w:r>
          </w:p>
        </w:tc>
        <w:tc>
          <w:tcPr>
            <w:tcW w:type="dxa" w:w="2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Fit Assessment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International Journal of Medical Informatics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Elsevier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~5.0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Systematic Review, Framework</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EXCELLENT — publishes systematic reviews and adoption frameworks in eHealth; your study fits squarely in scope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Health Informatics Journal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SAGE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Mixed-Methods, Review</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EXCELLENT — explicitly targets mixed-methods HIT research; highly accessible to practice-oriented scholars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Applied Clinical Informatics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Thieme / AMIA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~2.5</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Review, Framework Paper</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GOOD — AMIA-affiliated; focus on clinical practice-relevant informatics; strong fit for practitioner implications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bCs/>
                <w:color w:val="000000"/>
                <w:sz w:val="18"/>
                <w:szCs w:val="18"/>
              </w:rPr>
              <w:t xml:space="preserve">Journal of Biomedical Informatics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Elsevier</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~4.5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Systematic Review, Methods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GOOD — methods-strong journal; U-T-I-O model as framework contribution is well-suited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bCs/>
                <w:color w:val="000000"/>
                <w:sz w:val="18"/>
                <w:szCs w:val="18"/>
              </w:rPr>
              <w:t xml:space="preserve">Methods of Information in Medicine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Thieme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~2.8</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Systematic Review, Methods</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MODERATE — more methods-focused; suitable if emphasizing PRISMA methodology as primary contribution</w:t>
            </w:r>
          </w:p>
        </w:tc>
      </w:tr>
    </w:tbl>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4.1  Top Recommendation: International Journal of Medical Informatics</w:t>
      </w:r>
    </w:p>
    <w:p>
      <w:pPr>
        <w:spacing w:after="60" w:before="60"/>
      </w:pPr>
      <w:r>
        <w:t xml:space="preserve"/>
      </w:r>
    </w:p>
    <w:p>
      <w:pPr>
        <w:spacing w:after="100" w:before="80" w:line="280"/>
        <w:jc w:val="both"/>
      </w:pPr>
      <w:r>
        <w:rPr>
          <w:rFonts w:ascii="Arial" w:cs="Arial" w:eastAsia="Arial" w:hAnsi="Arial"/>
          <w:color w:val="000000"/>
          <w:sz w:val="20"/>
          <w:szCs w:val="20"/>
        </w:rPr>
        <w:t xml:space="preserve">IJMI is the strongest strategic choice for this manuscript for several reasons:</w:t>
      </w:r>
    </w:p>
    <w:p>
      <w:pPr>
        <w:pStyle w:val="ListParagraph"/>
        <w:numPr>
          <w:ilvl w:val="0"/>
          <w:numId w:val="2"/>
        </w:numPr>
        <w:spacing w:after="40" w:before="40" w:line="260"/>
      </w:pPr>
      <w:r>
        <w:rPr>
          <w:rFonts w:ascii="Arial" w:cs="Arial" w:eastAsia="Arial" w:hAnsi="Arial"/>
          <w:b w:val="false"/>
          <w:bCs w:val="false"/>
          <w:sz w:val="20"/>
          <w:szCs w:val="20"/>
        </w:rPr>
        <w:t xml:space="preserve">The journal has published several of the studies cited in this paper (Fennelly et al. 2020, Bitar et al. 2023), establishing disciplinary alignment</w:t>
      </w:r>
    </w:p>
    <w:p>
      <w:pPr>
        <w:pStyle w:val="ListParagraph"/>
        <w:numPr>
          <w:ilvl w:val="0"/>
          <w:numId w:val="2"/>
        </w:numPr>
        <w:spacing w:after="40" w:before="40" w:line="260"/>
      </w:pPr>
      <w:r>
        <w:rPr>
          <w:rFonts w:ascii="Arial" w:cs="Arial" w:eastAsia="Arial" w:hAnsi="Arial"/>
          <w:b w:val="false"/>
          <w:bCs w:val="false"/>
          <w:sz w:val="20"/>
          <w:szCs w:val="20"/>
        </w:rPr>
        <w:t xml:space="preserve">IJMI explicitly publishes systematic reviews, umbrella reviews, and framework papers on EHR and eHealth adoption</w:t>
      </w:r>
    </w:p>
    <w:p>
      <w:pPr>
        <w:pStyle w:val="ListParagraph"/>
        <w:numPr>
          <w:ilvl w:val="0"/>
          <w:numId w:val="2"/>
        </w:numPr>
        <w:spacing w:after="40" w:before="40" w:line="260"/>
      </w:pPr>
      <w:r>
        <w:rPr>
          <w:rFonts w:ascii="Arial" w:cs="Arial" w:eastAsia="Arial" w:hAnsi="Arial"/>
          <w:b w:val="false"/>
          <w:bCs w:val="false"/>
          <w:sz w:val="20"/>
          <w:szCs w:val="20"/>
        </w:rPr>
        <w:t xml:space="preserve">The journal's readership — health informaticists, HIT implementers, and policy researchers — is precisely the audience for the U-T-I-O model</w:t>
      </w:r>
    </w:p>
    <w:p>
      <w:pPr>
        <w:pStyle w:val="ListParagraph"/>
        <w:numPr>
          <w:ilvl w:val="0"/>
          <w:numId w:val="2"/>
        </w:numPr>
        <w:spacing w:after="40" w:before="40" w:line="260"/>
      </w:pPr>
      <w:r>
        <w:rPr>
          <w:rFonts w:ascii="Arial" w:cs="Arial" w:eastAsia="Arial" w:hAnsi="Arial"/>
          <w:b w:val="false"/>
          <w:bCs w:val="false"/>
          <w:sz w:val="20"/>
          <w:szCs w:val="20"/>
        </w:rPr>
        <w:t xml:space="preserve">No mandatory APC; standard submission is free; impact factor makes it a high-value target</w:t>
      </w:r>
    </w:p>
    <w:p>
      <w:pPr>
        <w:pStyle w:val="ListParagraph"/>
        <w:numPr>
          <w:ilvl w:val="0"/>
          <w:numId w:val="2"/>
        </w:numPr>
        <w:spacing w:after="40" w:before="40" w:line="260"/>
      </w:pPr>
      <w:r>
        <w:rPr>
          <w:rFonts w:ascii="Arial" w:cs="Arial" w:eastAsia="Arial" w:hAnsi="Arial"/>
          <w:b w:val="false"/>
          <w:bCs w:val="false"/>
          <w:sz w:val="20"/>
          <w:szCs w:val="20"/>
        </w:rPr>
        <w:t>Word limit (IJMI Reviews/qualitative-studies article type): 4,000 words for the full text, 300 for the abstract, max 4 tables, max 3 figures, plus a 2–4 bullet Summary Table — see IJMI author guidelines for the full list of constraints.</w:t>
      </w:r>
    </w:p>
    <w:p>
      <w:pPr>
        <w:spacing w:after="60" w:before="60"/>
      </w:pPr>
      <w:r>
        <w:t xml:space="preserve"/>
      </w:r>
    </w:p>
    <w:p>
      <w:pPr>
        <w:pBdr>
          <w:left w:val="single" w:color="C55A11" w:sz="12"/>
        </w:pBdr>
        <w:shd w:fill="FFF3CD" w:val="clear"/>
        <w:spacing w:after="120" w:before="120" w:line="280"/>
        <w:ind w:left="360" w:right="360"/>
      </w:pPr>
      <w:r>
        <w:rPr>
          <w:rFonts w:ascii="Arial" w:cs="Arial" w:eastAsia="Arial" w:hAnsi="Arial"/>
          <w:color w:val="4A4A4A"/>
          <w:sz w:val="20"/>
          <w:szCs w:val="20"/>
        </w:rPr>
        <w:t xml:space="preserve">Action required: Review IJMI's author guidelines (https://www.sciencedirect.com/journal/international-journal-of-medical-informatics/about/guide-for-authors) and confirm: (1) structured abstract format, (2) maximum word count, (3) required PRISMA checklist attachment, (4) CRediT authorship taxonomy statement.</w:t>
      </w:r>
    </w:p>
    <w:p>
      <w:pPr>
        <w:spacing w:after="60" w:before="60"/>
      </w:pPr>
      <w:r>
        <w:t xml:space="preserve"/>
      </w:r>
    </w:p>
    <w:p>
      <w:pPr>
        <w:spacing w:after="60" w:before="60"/>
      </w:pPr>
      <w:r>
        <w:t xml:space="preserve"/>
      </w:r>
    </w:p>
    <w:p>
      <w:pPr>
        <w:pStyle w:val="Heading2"/>
        <w:pBdr>
          <w:bottom w:val="single" w:color="2E75B6" w:sz="4"/>
        </w:pBdr>
        <w:spacing w:after="120" w:before="280"/>
      </w:pPr>
      <w:r>
        <w:rPr>
          <w:rFonts w:ascii="Arial" w:cs="Arial" w:eastAsia="Arial" w:hAnsi="Arial"/>
          <w:b/>
          <w:bCs/>
          <w:color w:val="1F3864"/>
          <w:sz w:val="26"/>
          <w:szCs w:val="26"/>
        </w:rPr>
        <w:t xml:space="preserve">4.2  Submission Preparation Requirements</w:t>
      </w:r>
    </w:p>
    <w:p>
      <w:pPr>
        <w:spacing w:after="60" w:before="60"/>
      </w:pPr>
      <w:r>
        <w:t xml:space="preserve"/>
      </w:r>
    </w:p>
    <w:p>
      <w:pPr>
        <w:spacing w:after="100" w:before="80" w:line="280"/>
        <w:jc w:val="both"/>
      </w:pPr>
      <w:r>
        <w:rPr>
          <w:rFonts w:ascii="Arial" w:cs="Arial" w:eastAsia="Arial" w:hAnsi="Arial"/>
          <w:color w:val="000000"/>
          <w:sz w:val="20"/>
          <w:szCs w:val="20"/>
        </w:rPr>
        <w:t xml:space="preserve">Regardless of journal, the following materials are typically required for a systematic review submission:</w:t>
      </w:r>
    </w:p>
    <w:p>
      <w:pPr>
        <w:pStyle w:val="ListParagraph"/>
        <w:numPr>
          <w:ilvl w:val="0"/>
          <w:numId w:val="2"/>
        </w:numPr>
        <w:spacing w:after="40" w:before="40" w:line="260"/>
      </w:pPr>
      <w:r>
        <w:rPr>
          <w:rFonts w:ascii="Arial" w:cs="Arial" w:eastAsia="Arial" w:hAnsi="Arial"/>
          <w:b w:val="false"/>
          <w:bCs w:val="false"/>
          <w:sz w:val="20"/>
          <w:szCs w:val="20"/>
        </w:rPr>
        <w:t xml:space="preserve">Manuscript (main document, double-spaced, anonymized if double-blind)</w:t>
      </w:r>
    </w:p>
    <w:p>
      <w:pPr>
        <w:pStyle w:val="ListParagraph"/>
        <w:numPr>
          <w:ilvl w:val="0"/>
          <w:numId w:val="2"/>
        </w:numPr>
        <w:spacing w:after="40" w:before="40" w:line="260"/>
      </w:pPr>
      <w:r>
        <w:rPr>
          <w:rFonts w:ascii="Arial" w:cs="Arial" w:eastAsia="Arial" w:hAnsi="Arial"/>
          <w:b w:val="false"/>
          <w:bCs w:val="false"/>
          <w:sz w:val="20"/>
          <w:szCs w:val="20"/>
        </w:rPr>
        <w:t xml:space="preserve">PRISMA 2020 Checklist (complete the checklist PDF from prisma-statement.org)</w:t>
      </w:r>
    </w:p>
    <w:p>
      <w:pPr>
        <w:pStyle w:val="ListParagraph"/>
        <w:numPr>
          <w:ilvl w:val="0"/>
          <w:numId w:val="2"/>
        </w:numPr>
        <w:spacing w:after="40" w:before="40" w:line="260"/>
      </w:pPr>
      <w:r>
        <w:rPr>
          <w:rFonts w:ascii="Arial" w:cs="Arial" w:eastAsia="Arial" w:hAnsi="Arial"/>
          <w:b w:val="false"/>
          <w:bCs w:val="false"/>
          <w:sz w:val="20"/>
          <w:szCs w:val="20"/>
        </w:rPr>
        <w:t xml:space="preserve">PRISMA 2020 Flow Diagram (the TikZ diagram in your repository should render as a figure)</w:t>
      </w:r>
    </w:p>
    <w:p>
      <w:pPr>
        <w:pStyle w:val="ListParagraph"/>
        <w:numPr>
          <w:ilvl w:val="0"/>
          <w:numId w:val="2"/>
        </w:numPr>
        <w:spacing w:after="40" w:before="40" w:line="260"/>
      </w:pPr>
      <w:r>
        <w:rPr>
          <w:rFonts w:ascii="Arial" w:cs="Arial" w:eastAsia="Arial" w:hAnsi="Arial"/>
          <w:b w:val="false"/>
          <w:bCs w:val="false"/>
          <w:sz w:val="20"/>
          <w:szCs w:val="20"/>
        </w:rPr>
        <w:t xml:space="preserve">Cover letter (introduce the study, state its contribution, confirm no concurrent submission)</w:t>
      </w:r>
    </w:p>
    <w:p>
      <w:pPr>
        <w:pStyle w:val="ListParagraph"/>
        <w:numPr>
          <w:ilvl w:val="0"/>
          <w:numId w:val="2"/>
        </w:numPr>
        <w:spacing w:after="40" w:before="40" w:line="260"/>
      </w:pPr>
      <w:r>
        <w:rPr>
          <w:rFonts w:ascii="Arial" w:cs="Arial" w:eastAsia="Arial" w:hAnsi="Arial"/>
          <w:b w:val="false"/>
          <w:bCs w:val="false"/>
          <w:sz w:val="20"/>
          <w:szCs w:val="20"/>
        </w:rPr>
        <w:t xml:space="preserve">Author information page (separated from main manuscript if double-blind review)</w:t>
      </w:r>
    </w:p>
    <w:p>
      <w:pPr>
        <w:pStyle w:val="ListParagraph"/>
        <w:numPr>
          <w:ilvl w:val="0"/>
          <w:numId w:val="2"/>
        </w:numPr>
        <w:spacing w:after="40" w:before="40" w:line="260"/>
      </w:pPr>
      <w:r>
        <w:rPr>
          <w:rFonts w:ascii="Arial" w:cs="Arial" w:eastAsia="Arial" w:hAnsi="Arial"/>
          <w:b w:val="false"/>
          <w:bCs w:val="false"/>
          <w:sz w:val="20"/>
          <w:szCs w:val="20"/>
        </w:rPr>
        <w:t xml:space="preserve">Conflict of interest statement</w:t>
      </w:r>
    </w:p>
    <w:p>
      <w:pPr>
        <w:pStyle w:val="ListParagraph"/>
        <w:numPr>
          <w:ilvl w:val="0"/>
          <w:numId w:val="2"/>
        </w:numPr>
        <w:spacing w:after="40" w:before="40" w:line="260"/>
      </w:pPr>
      <w:r>
        <w:rPr>
          <w:rFonts w:ascii="Arial" w:cs="Arial" w:eastAsia="Arial" w:hAnsi="Arial"/>
          <w:b w:val="false"/>
          <w:bCs w:val="false"/>
          <w:sz w:val="20"/>
          <w:szCs w:val="20"/>
        </w:rPr>
        <w:t xml:space="preserve">Data availability statement (state that all sources are publicly available)</w:t>
      </w:r>
    </w:p>
    <w:p>
      <w:pPr>
        <w:pStyle w:val="ListParagraph"/>
        <w:numPr>
          <w:ilvl w:val="0"/>
          <w:numId w:val="2"/>
        </w:numPr>
        <w:spacing w:after="40" w:before="40" w:line="260"/>
      </w:pPr>
      <w:r>
        <w:rPr>
          <w:rFonts w:ascii="Arial" w:cs="Arial" w:eastAsia="Arial" w:hAnsi="Arial"/>
          <w:b w:val="false"/>
          <w:bCs w:val="false"/>
          <w:sz w:val="20"/>
          <w:szCs w:val="20"/>
        </w:rPr>
        <w:t xml:space="preserve">Ethics statement (IRB not required; include the compliance section from your manuscript)</w:t>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5.  Prioritized Action Plan</w:t>
      </w:r>
    </w:p>
    <w:p>
      <w:pPr>
        <w:spacing w:after="60" w:before="60"/>
      </w:pPr>
      <w:r>
        <w:t xml:space="preserve"/>
      </w:r>
    </w:p>
    <w:p>
      <w:pPr>
        <w:spacing w:after="100" w:before="80" w:line="280"/>
        <w:jc w:val="both"/>
      </w:pPr>
      <w:r>
        <w:rPr>
          <w:rFonts w:ascii="Arial" w:cs="Arial" w:eastAsia="Arial" w:hAnsi="Arial"/>
          <w:color w:val="000000"/>
          <w:sz w:val="20"/>
          <w:szCs w:val="20"/>
        </w:rPr>
        <w:t xml:space="preserve">The following action plan organizes all remaining tasks by priority. Priority 1 items are submission-blockers. Priority 2 items are required for quality but less urgent. Priority 3 items are optional improvements.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460"/>
        <w:gridCol w:w="1300"/>
        <w:gridCol w:w="3100"/>
      </w:tblGrid>
      <w:tr>
        <w:trPr>
          <w:tblHeader/>
        </w:trPr>
        <w:tc>
          <w:tcPr>
            <w:tcW w:type="dxa" w:w="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P</w:t>
            </w:r>
          </w:p>
        </w:tc>
        <w:tc>
          <w:tcPr>
            <w:tcW w:type="dxa" w:w="4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Action Item</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center"/>
            </w:pPr>
            <w:r>
              <w:rPr>
                <w:b/>
                <w:bCs/>
                <w:color w:val="FFFFFF"/>
                <w:sz w:val="18"/>
                <w:szCs w:val="18"/>
              </w:rPr>
              <w:t xml:space="preserve">Effort</w:t>
            </w:r>
          </w:p>
        </w:tc>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Notes</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Introduction section (1 paragraph → 600–900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2–3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Must establish context, gap, objectives, and roadmap</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Expand Background &amp; Theoretical Foundation (2 sentences → 700–1,000 words)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2–3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Develop DeLone &amp; McLean, TOE, and U-T-I-O synthesis fully</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Conclusion (2 sentences → 350–500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Include model summary, practical takeaways, future research direction</w:t>
            </w:r>
          </w:p>
        </w:tc>
      </w:tr>
      <w:tr>
        <w:tc>
          <w:tcPr>
            <w:tcW w:type="dxa" w:w="500"/>
            <w:tcBorders>
              <w:top w:val="single" w:color="CCCCCC" w:sz="1"/>
              <w:left w:val="single" w:color="CCCCCC" w:sz="1"/>
              <w:bottom w:val="single" w:color="CCCCCC" w:sz="1"/>
              <w:right w:val="single" w:color="CCCCCC" w:sz="1"/>
            </w:tcBorders>
            <w:shd w:fill="C00000"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1</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Restructure Abstract into structured format (~200–250 words)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30–60 min</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Background / Objective / Methods / Results / Conclusions format</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formal search query strings to Methods section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Use queries from Section 3 of this research plan</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Add narrative connecting systematic review findings to case findings in Results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Bridge between the two analytical tracks is currently implicit</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Expand Limitations (3 sentences → 150–200 words)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30–45 min</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English-language bias, confirmatory bias, generalizability</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Complete incomplete .bib entries (Adler-Milstein, Holmes)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30 min</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Missing volume/issue/pages in two key citations</w:t>
            </w:r>
          </w:p>
        </w:tc>
      </w:tr>
      <w:tr>
        <w:tc>
          <w:tcPr>
            <w:tcW w:type="dxa" w:w="500"/>
            <w:tcBorders>
              <w:top w:val="single" w:color="CCCCCC" w:sz="1"/>
              <w:left w:val="single" w:color="CCCCCC" w:sz="1"/>
              <w:bottom w:val="single" w:color="CCCCCC" w:sz="1"/>
              <w:right w:val="single" w:color="CCCCCC" w:sz="1"/>
            </w:tcBorders>
            <w:shd w:fill="C55A11"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Add explicit RQ responses to Discussion section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45 min</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Each RQ should be explicitly addressed in a discussion subsection</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Execute formal database searches and update PRISMA counts</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3–5 hrs</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Optional if framing as protocol paper or if counts are clearly labeled projected</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Compile PRISMA 2020 checklist for submission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Required by most journals for systematic review submissions</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Write cover letter for target journal submission</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center"/>
            </w:pPr>
            <w:r>
              <w:rPr>
                <w:b w:val="false"/>
                <w:bCs w:val="false"/>
                <w:color w:val="000000"/>
                <w:sz w:val="18"/>
                <w:szCs w:val="18"/>
              </w:rPr>
              <w:t xml:space="preserve">1 hr</w:t>
            </w:r>
          </w:p>
        </w:tc>
        <w:tc>
          <w:tcPr>
            <w:tcW w:type="dxa" w:w="3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pPr>
              <w:jc w:val="left"/>
            </w:pPr>
            <w:r>
              <w:rPr>
                <w:b w:val="false"/>
                <w:bCs w:val="false"/>
                <w:color w:val="000000"/>
                <w:sz w:val="18"/>
                <w:szCs w:val="18"/>
              </w:rPr>
              <w:t xml:space="preserve">Highlight novelty of U-T-I-O model; note no competing submission</w:t>
            </w:r>
          </w:p>
        </w:tc>
      </w:tr>
      <w:tr>
        <w:tc>
          <w:tcPr>
            <w:tcW w:type="dxa" w:w="5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0"/>
                <w:szCs w:val="20"/>
              </w:rPr>
              <w:t xml:space="preserve">3</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Final LaTeX compilation, PDF proof, and formatting review</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center"/>
            </w:pPr>
            <w:r>
              <w:rPr>
                <w:b w:val="false"/>
                <w:bCs w:val="false"/>
                <w:color w:val="000000"/>
                <w:sz w:val="18"/>
                <w:szCs w:val="18"/>
              </w:rPr>
              <w:t xml:space="preserve">1–2 hrs</w:t>
            </w:r>
          </w:p>
        </w:tc>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pPr>
              <w:jc w:val="left"/>
            </w:pPr>
            <w:r>
              <w:rPr>
                <w:b w:val="false"/>
                <w:bCs w:val="false"/>
                <w:color w:val="000000"/>
                <w:sz w:val="18"/>
                <w:szCs w:val="18"/>
              </w:rPr>
              <w:t xml:space="preserve">Verify all figures render, tables don't overflow, citations compile</w:t>
            </w:r>
          </w:p>
        </w:tc>
      </w:tr>
    </w:tbl>
    <w:p>
      <w:pPr>
        <w:spacing w:after="60" w:before="60"/>
      </w:pPr>
      <w:r>
        <w:t xml:space="preserve"/>
      </w:r>
    </w:p>
    <w:p>
      <w:pPr>
        <w:spacing w:after="60" w:before="60"/>
      </w:pPr>
      <w:r>
        <w:t xml:space="preserve"/>
      </w:r>
    </w:p>
    <w:p>
      <w:r>
        <w:br w:type="page"/>
      </w:r>
    </w:p>
    <w:p>
      <w:pPr>
        <w:pStyle w:val="Heading1"/>
        <w:shd w:fill="1F3864" w:val="clear"/>
        <w:spacing w:after="160" w:before="320"/>
        <w:ind w:left="200" w:right="200"/>
      </w:pPr>
      <w:r>
        <w:rPr>
          <w:rFonts w:ascii="Arial" w:cs="Arial" w:eastAsia="Arial" w:hAnsi="Arial"/>
          <w:b/>
          <w:bCs/>
          <w:color w:val="FFFFFF"/>
          <w:sz w:val="32"/>
          <w:szCs w:val="32"/>
        </w:rPr>
        <w:t xml:space="preserve">6.  Submission Readiness Checklist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000"/>
        <w:gridCol w:w="276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000000"/>
                <w:sz w:val="18"/>
                <w:szCs w:val="18"/>
              </w:rPr>
              <w:t xml:space="preserve"/>
            </w:r>
          </w:p>
        </w:tc>
        <w:tc>
          <w:tcPr>
            <w:tcW w:type="dxa" w:w="6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Checklist Item</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top"/>
          </w:tcPr>
          <w:p>
            <w:pPr>
              <w:jc w:val="left"/>
            </w:pPr>
            <w:r>
              <w:rPr>
                <w:b/>
                <w:bCs/>
                <w:color w:val="FFFFFF"/>
                <w:sz w:val="18"/>
                <w:szCs w:val="18"/>
              </w:rPr>
              <w:t xml:space="preserve">Status</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Research questions clearly articulated (RQ1, RQ2, RQ3)</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Theoretical framework developed (DeLone &amp; McLean + TOE + U-T-I-O)</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(needs expansion)</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Evidence extraction table (17 sources coded by UTIO domain)</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Multi-case comparative analysis (ONC, NHS, Estonia, VA/DoD)</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Discussion: market dynamics, ethical dimensions, practical implications</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Ethics and compliance statement (HIPAA, HITECH, NIST)</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PRISMA flow diagram (TikZ source in repository)</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(counts need update)</w:t>
            </w:r>
          </w:p>
        </w:tc>
      </w:tr>
      <w:tr>
        <w:tc>
          <w:tcPr>
            <w:tcW w:type="dxa" w:w="600"/>
            <w:tcBorders>
              <w:top w:val="single" w:color="CCCCCC" w:sz="1"/>
              <w:left w:val="single" w:color="CCCCCC" w:sz="1"/>
              <w:bottom w:val="single" w:color="CCCCCC" w:sz="1"/>
              <w:right w:val="single" w:color="CCCCCC" w:sz="1"/>
            </w:tcBorders>
            <w:shd w:fill="E8F5E9" w:val="clear"/>
            <w:tcMar>
              <w:top w:type="dxa" w:w="80"/>
              <w:left w:type="dxa" w:w="80"/>
              <w:bottom w:type="dxa" w:w="80"/>
              <w:right w:type="dxa" w:w="80"/>
            </w:tcMar>
          </w:tcPr>
          <w:p>
            <w:pPr>
              <w:jc w:val="center"/>
            </w:pPr>
            <w:r>
              <w:rPr>
                <w:rFonts w:ascii="Arial" w:cs="Arial" w:eastAsia="Arial" w:hAnsi="Arial"/>
                <w:b/>
                <w:bCs/>
                <w:color w:val="375623"/>
                <w:sz w:val="20"/>
                <w:szCs w:val="20"/>
              </w:rPr>
              <w:t xml:space="preserve">✓</w:t>
            </w:r>
          </w:p>
        </w:tc>
        <w:tc>
          <w:tcPr>
            <w:tcW w:type="dxa" w:w="6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val="false"/>
                <w:bCs w:val="false"/>
                <w:color w:val="000000"/>
                <w:sz w:val="18"/>
                <w:szCs w:val="18"/>
              </w:rPr>
              <w:t xml:space="preserve">Bibliography (.bib file) with 19 sources</w:t>
            </w:r>
          </w:p>
        </w:tc>
        <w:tc>
          <w:tcPr>
            <w:tcW w:type="dxa" w:w="27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top"/>
          </w:tcPr>
          <w:p>
            <w:pPr>
              <w:jc w:val="left"/>
            </w:pPr>
            <w:r>
              <w:rPr>
                <w:b/>
                <w:bCs/>
                <w:color w:val="375623"/>
                <w:sz w:val="18"/>
                <w:szCs w:val="18"/>
              </w:rPr>
              <w:t xml:space="preserve">Complete (2 entries incomplete)</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Introduction — full section with context, gap, and objectives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Background — DeLone &amp; McLean, TOE, U-T-I-O synthesis (full development)</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Conclusion — full summary of U-T-I-O findings and future research directions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IN PROGRESS — Stub only</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Abstract — structured format (Background / Objective / Methods / Results / Conclusions)</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NEEDS RESTRUCTURING</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Methods — formal database search query strings documented</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NEEDS ADDITION</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PRISMA 2020 checklist completed and attached</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NOT STARTED</w:t>
            </w:r>
          </w:p>
        </w:tc>
      </w:tr>
      <w:tr>
        <w:tc>
          <w:tcPr>
            <w:tcW w:type="dxa" w:w="600"/>
            <w:tcBorders>
              <w:top w:val="single" w:color="CCCCCC" w:sz="1"/>
              <w:left w:val="single" w:color="CCCCCC" w:sz="1"/>
              <w:bottom w:val="single" w:color="CCCCCC" w:sz="1"/>
              <w:right w:val="single" w:color="CCCCCC" w:sz="1"/>
            </w:tcBorders>
            <w:shd w:fill="FFF3CD" w:val="clear"/>
            <w:tcMar>
              <w:top w:type="dxa" w:w="80"/>
              <w:left w:type="dxa" w:w="80"/>
              <w:bottom w:type="dxa" w:w="80"/>
              <w:right w:type="dxa" w:w="80"/>
            </w:tcMar>
          </w:tcPr>
          <w:p>
            <w:pPr>
              <w:jc w:val="center"/>
            </w:pPr>
            <w:r>
              <w:rPr>
                <w:rFonts w:ascii="Arial" w:cs="Arial" w:eastAsia="Arial" w:hAnsi="Arial"/>
                <w:b/>
                <w:bCs/>
                <w:color w:val="C55A11"/>
                <w:sz w:val="20"/>
                <w:szCs w:val="20"/>
              </w:rPr>
              <w:t xml:space="preserve">!</w:t>
            </w:r>
          </w:p>
        </w:tc>
        <w:tc>
          <w:tcPr>
            <w:tcW w:type="dxa" w:w="6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val="false"/>
                <w:bCs w:val="false"/>
                <w:color w:val="000000"/>
                <w:sz w:val="18"/>
                <w:szCs w:val="18"/>
              </w:rPr>
              <w:t xml:space="preserve">Cover letter written for target journal</w:t>
            </w:r>
          </w:p>
        </w:tc>
        <w:tc>
          <w:tcPr>
            <w:tcW w:type="dxa" w:w="27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top"/>
          </w:tcPr>
          <w:p>
            <w:pPr>
              <w:jc w:val="left"/>
            </w:pPr>
            <w:r>
              <w:rPr>
                <w:b/>
                <w:bCs/>
                <w:color w:val="C55A11"/>
                <w:sz w:val="18"/>
                <w:szCs w:val="18"/>
              </w:rPr>
              <w:t xml:space="preserve">NOT STARTED</w:t>
            </w:r>
          </w:p>
        </w:tc>
      </w:tr>
    </w:tbl>
    <w:p>
      <w:pPr>
        <w:spacing w:after="60" w:before="60"/>
      </w:pPr>
      <w:r>
        <w:t xml:space="preserve"/>
      </w:r>
    </w:p>
    <w:p>
      <w:pPr>
        <w:spacing w:after="60" w:before="60"/>
      </w:pPr>
      <w:r>
        <w:t xml:space="preserve"/>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100"/>
    </w:pPr>
    <w:r>
      <w:rPr>
        <w:rFonts w:ascii="Arial" w:cs="Arial" w:eastAsia="Arial" w:hAnsi="Arial"/>
        <w:color w:val="888888"/>
        <w:sz w:val="16"/>
        <w:szCs w:val="16"/>
      </w:rPr>
      <w:t xml:space="preserve">Dr. Adams  |  Resilient Consulting Solutions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100"/>
      <w:jc w:val="right"/>
    </w:pPr>
    <w:r>
      <w:rPr>
        <w:rFonts w:ascii="Arial" w:cs="Arial" w:eastAsia="Arial" w:hAnsi="Arial"/>
        <w:color w:val="888888"/>
        <w:sz w:val="16"/>
        <w:szCs w:val="16"/>
      </w:rPr>
      <w:t xml:space="preserve">eHealth Adoption Systematic Review  |  Research Plan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40" w:before="40"/>
        <w:ind w:left="720" w:hanging="360"/>
      </w:pPr>
      <w:rPr>
        <w:rFonts w:ascii="Arial" w:cs="Arial" w:eastAsia="Arial" w:hAnsi="Arial"/>
        <w:sz w:val="20"/>
        <w:szCs w:val="20"/>
      </w:rPr>
    </w:lvl>
  </w:abstractNum>
  <w:abstractNum w:abstractNumId="3" w15:restartNumberingAfterBreak="0">
    <w:multiLevelType w:val="hybridMultilevel"/>
    <w:lvl w:ilvl="0" w15:tentative="1">
      <w:start w:val="1"/>
      <w:numFmt w:val="bullet"/>
      <w:lvlText w:val="◦"/>
      <w:lvlJc w:val="left"/>
      <w:pPr>
        <w:spacing w:after="30" w:before="30"/>
        <w:ind w:left="1080" w:hanging="360"/>
      </w:pPr>
      <w:rPr>
        <w:rFonts w:ascii="Arial" w:cs="Arial" w:eastAsia="Arial" w:hAnsi="Arial"/>
        <w:sz w:val="19"/>
        <w:szCs w:val="19"/>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2026-04-29T00:46:13.213Z</dcterms:created>
  <dcterms:modified xsi:type="dcterms:W3CDTF">2026-04-29T00:46:13.213Z</dcterms:modified>
</cp:coreProperties>
</file>

<file path=docProps/custom.xml><?xml version="1.0" encoding="utf-8"?>
<Properties xmlns="http://schemas.openxmlformats.org/officeDocument/2006/custom-properties" xmlns:vt="http://schemas.openxmlformats.org/officeDocument/2006/docPropsVTypes"/>
</file>