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Determinants of eHealth Systems Adoption: A Systematic Review and Multi-Case Analysis</w:t>
      </w:r>
    </w:p>
    <w:p>
      <w:pPr>
        <w:spacing w:after="600"/>
        <w:jc w:val="center"/>
      </w:pPr>
      <w:r>
        <w:rPr>
          <w:rFonts w:ascii="Times New Roman" w:cs="Times New Roman" w:eastAsia="Times New Roman" w:hAnsi="Times New Roman"/>
          <w:i/>
          <w:iCs/>
          <w:sz w:val="20"/>
          <w:szCs w:val="20"/>
        </w:rPr>
        <w:t xml:space="preserve">[Manuscript prepared for double-blind peer review — author identifiers removed]</w:t>
      </w:r>
    </w:p>
    <w:p>
      <w:pPr>
        <w:pStyle w:val="Heading1"/>
        <w:spacing w:after="200" w:before="480"/>
      </w:pPr>
      <w:r>
        <w:rPr>
          <w:rFonts w:ascii="Times New Roman" w:cs="Times New Roman" w:eastAsia="Times New Roman" w:hAnsi="Times New Roman"/>
          <w:b/>
          <w:bCs/>
          <w:sz w:val="28"/>
          <w:szCs w:val="28"/>
        </w:rPr>
        <w:t xml:space="preserve">Abstract</w:t>
      </w:r>
    </w:p>
    <w:p>
      <w:pPr>
        <w:spacing w:after="200" w:line="48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Despite sustained investment and policy attention, adoption of interoperable eHealth systems—including electronic health records (EHRs) and health information exchanges (HIEs)—remains inconsistent across organizations and national contexts. Existing frameworks have examined isolated factors without integrating them into a unified, operationalizable model.</w:t>
      </w:r>
    </w:p>
    <w:p>
      <w:pPr>
        <w:spacing w:after="200" w:line="48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This study aims to identify and synthesize determinants of eHealth systems adoption across diverse implementation contexts and develop a consolidated model applicable to healthcare leaders and system architects.</w:t>
      </w:r>
    </w:p>
    <w:p>
      <w:pPr>
        <w:spacing w:after="200" w:line="48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PRISMA 2020-guided systematic review of three primary databases (PubMed, IEEE Xplore, Scopus) and supplementary sources, covering literature from 2003 onwards. Seventeen sources were retained for evidence extraction following systematic screening. A parallel multi-case analysis examined four national implementations: U.S. ONC HIE programs, NHS Shared Care Records (UK), Estonia's national eHealth system, and the U.S. VA/DoD EHR modernization. Findings were integrated using the U-T-I-O Model.</w:t>
      </w:r>
    </w:p>
    <w:p>
      <w:pPr>
        <w:spacing w:after="200" w:line="48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Adoption determinants clustered across four interdependent domains: User Readiness (usability, workflow fit, training, perceived usefulness), Technical Interoperability (system quality, semantic/syntactic interoperability, data completeness), Institutional Alignment (regulatory mandates, national digital health strategy, information governance), and Organizational Execution (leadership, change management, stakeholder engagement, resource capacity). Technical interoperability is necessary but insufficient for sustained adoption. Estonia showed the highest alignment across all four domains; the VA/DoD case demonstrated how strong institutional mandate can be undermined by gaps in user readiness and organizational execution.</w:t>
      </w:r>
    </w:p>
    <w:p>
      <w:pPr>
        <w:spacing w:after="200" w:line="480"/>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The U-T-I-O Model provides an operationalizable framework for assessing eHealth adoption readiness and diagnosing domain-specific implementation gaps. Sustainable adoption requires coordinated alignment across all four domains. The model provides implementation readiness validity; clinical outcome validity is the primary direction for future research through a proposed U-T-I-O-OM extension, with actionable guidance for health system leaders.</w:t>
      </w:r>
    </w:p>
    <w:p>
      <w:pPr>
        <w:spacing w:after="100"/>
      </w:pPr>
      <w:r>
        <w:t xml:space="preserve"/>
      </w:r>
    </w:p>
    <w:p>
      <w:pPr>
        <w:spacing w:after="20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eHealth adoption; electronic health records; health information exchange; interoperability; systematic review; U-T-I-O Model; implementation science</w:t>
      </w:r>
    </w:p>
    <w:p>
      <w:r>
        <w:br w:type="page"/>
      </w:r>
    </w:p>
    <w:p>
      <w:pPr>
        <w:spacing w:after="120"/>
      </w:pPr>
      <w:r>
        <w:rPr>
          <w:rFonts w:ascii="Times New Roman" w:cs="Times New Roman" w:eastAsia="Times New Roman" w:hAnsi="Times New Roman"/>
          <w:b/>
          <w:bCs/>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What this systematic review adds</w:t>
            </w:r>
          </w:p>
        </w:tc>
      </w:tr>
      <w:tr>
        <w:tc>
          <w:tcPr>
            <w:tcW w:type="dxa" w:w="93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  eHealth adoption is determined by alignment across four interacting domains—User Readiness, Technical Interoperability, Institutional Alignment, and Organizational Execution—not by any single domain in isolation.
</w:t>
            </w:r>
            <w:r>
              <w:rPr>
                <w:rFonts w:ascii="Times New Roman" w:cs="Times New Roman" w:eastAsia="Times New Roman" w:hAnsi="Times New Roman"/>
                <w:sz w:val="20"/>
                <w:szCs w:val="20"/>
              </w:rPr>
              <w:t xml:space="preserve">•  Across 17 reviewed sources and four national implementation cases, no source identified a single-domain explanation as sufficient; multi-domain convergence emerged as the decisive predictor of adoption maturity.
</w:t>
            </w:r>
            <w:r>
              <w:rPr>
                <w:rFonts w:ascii="Times New Roman" w:cs="Times New Roman" w:eastAsia="Times New Roman" w:hAnsi="Times New Roman"/>
                <w:sz w:val="20"/>
                <w:szCs w:val="20"/>
              </w:rPr>
              <w:t xml:space="preserve">•  Strong institutional mandate and substantial technical investment are necessary but insufficient: the VA/DoD case demonstrates how realised gaps in user readiness, technical interoperability, and organizational execution constrain adoption value despite congressional mandate and sustained investment.
</w:t>
            </w:r>
            <w:r>
              <w:rPr>
                <w:rFonts w:ascii="Times New Roman" w:cs="Times New Roman" w:eastAsia="Times New Roman" w:hAnsi="Times New Roman"/>
                <w:sz w:val="20"/>
                <w:szCs w:val="20"/>
              </w:rPr>
              <w:t xml:space="preserve">•  The U-T-I-O Model functions as both a descriptive framework and a diagnostic tool, providing a structured basis for assessing implementation readiness and identifying domain-level misalignment risks before deployment.</w:t>
            </w:r>
          </w:p>
        </w:tc>
      </w:tr>
    </w:tbl>
    <w:p>
      <w:pPr>
        <w:spacing w:after="100"/>
      </w:pPr>
      <w:r>
        <w:t xml:space="preserve"/>
      </w:r>
    </w:p>
    <w:p>
      <w:r>
        <w:br w:type="page"/>
      </w:r>
    </w:p>
    <w:p>
      <w:pPr>
        <w:pStyle w:val="Heading1"/>
        <w:spacing w:after="200" w:before="480"/>
      </w:pPr>
      <w:r>
        <w:rPr>
          <w:rFonts w:ascii="Times New Roman" w:cs="Times New Roman" w:eastAsia="Times New Roman" w:hAnsi="Times New Roman"/>
          <w:b/>
          <w:bCs/>
          <w:sz w:val="28"/>
          <w:szCs w:val="28"/>
        </w:rPr>
        <w:t xml:space="preserve">1. Introduction</w:t>
      </w:r>
    </w:p>
    <w:p>
      <w:pPr>
        <w:spacing w:after="200" w:line="480"/>
      </w:pPr>
      <w:r>
        <w:rPr>
          <w:rFonts w:ascii="Times New Roman" w:cs="Times New Roman" w:eastAsia="Times New Roman" w:hAnsi="Times New Roman"/>
          <w:sz w:val="24"/>
          <w:szCs w:val="24"/>
        </w:rPr>
        <w:t xml:space="preserve">Healthcare systems worldwide are undergoing a fundamental digital transformation. The adoption of interoperable electronic health record (EHR) systems, health information exchanges (HIEs), and broader eHealth infrastructure has become a central priority for governments, healthcare organizations, and technology vendors alike. In the United States, the Health Information Technology for Economic and Clinical Health (HITECH) Act of 2009 catalyzed a national investment exceeding $35 billion in EHR adoption incentives [1,2]. Internationally, national digital health strategies in the United Kingdom, Estonia, Australia, Canada, and across the European Union have similarly driven large-scale investments in interoperable health information infrastructure.</w:t>
      </w:r>
    </w:p>
    <w:p>
      <w:pPr>
        <w:spacing w:after="200" w:line="480"/>
      </w:pPr>
      <w:r>
        <w:rPr>
          <w:rFonts w:ascii="Times New Roman" w:cs="Times New Roman" w:eastAsia="Times New Roman" w:hAnsi="Times New Roman"/>
          <w:sz w:val="24"/>
          <w:szCs w:val="24"/>
        </w:rPr>
        <w:t xml:space="preserve">Despite this sustained policy attention and financial investment, eHealth adoption outcomes remain strikingly uneven. Some health systems—such as Estonia's national eHealth platform—have achieved near-comprehensive coverage, high clinician engagement, and measurable improvements in care coordination [3,4]. Others, including some of the most heavily funded programs in the United States, such as the Department of Veterans Affairs (VA) and Department of Defense (DoD) joint EHR modernization initiative, continue to face significant usability challenges, implementation delays, and user dissatisfaction, even years after deployment [5,6]. This paradox—substantial investment yielding inconsistent outcomes—motivates the central inquiry of this study.</w:t>
      </w:r>
    </w:p>
    <w:p>
      <w:pPr>
        <w:spacing w:after="200" w:line="480"/>
      </w:pPr>
      <w:r>
        <w:rPr>
          <w:rFonts w:ascii="Times New Roman" w:cs="Times New Roman" w:eastAsia="Times New Roman" w:hAnsi="Times New Roman"/>
          <w:sz w:val="24"/>
          <w:szCs w:val="24"/>
        </w:rPr>
        <w:t xml:space="preserve">The adoption science literature offers several frameworks for understanding why technology implementations succeed or fail. The DeLone and McLean Information Systems (IS) Success Model [7] identifies system quality, information quality, use, and net benefits as critical success dimensions. The Technology-Organization-Environment (TOE) Framework [8] situates adoption decisions within the interacting contexts of technological readiness, organizational capacity, and environmental pressures. While individually illuminating, these frameworks were not developed with the specific complexities of healthcare in mind. Prior systematic reviews of eHealth adoption have tended to examine isolated determinants without integrating them into a unified, operationalizable model applicable across diverse implementation contexts [9,10,11].</w:t>
      </w:r>
    </w:p>
    <w:p>
      <w:pPr>
        <w:spacing w:after="200" w:line="480"/>
      </w:pPr>
      <w:r>
        <w:rPr>
          <w:rFonts w:ascii="Times New Roman" w:cs="Times New Roman" w:eastAsia="Times New Roman" w:hAnsi="Times New Roman"/>
          <w:sz w:val="24"/>
          <w:szCs w:val="24"/>
        </w:rPr>
        <w:t xml:space="preserve">This study addresses that gap. The systematic review reported here builds directly on prior qualitative research [12] that identified adoption strategies from interviews with senior IT leaders in healthcare organizations; the current study extends that practitioner-grounded foundation by synthesizing the broader systematic-review literature and validating the resulting framework against four publicly documented national implementations. This article reports a PRISMA-guided systematic review of peer-reviewed and grey literature on eHealth adoption determinants, synthesized alongside a comparative multi-case analysis of four major national eHealth implementations. Drawing on both the systematic review evidence and the case analyses, we develop and validate the </w:t>
      </w:r>
      <w:r>
        <w:rPr>
          <w:rFonts w:ascii="Times New Roman" w:cs="Times New Roman" w:eastAsia="Times New Roman" w:hAnsi="Times New Roman"/>
          <w:b/>
          <w:bCs/>
          <w:sz w:val="24"/>
          <w:szCs w:val="24"/>
        </w:rPr>
        <w:t xml:space="preserve">U-T-I-O Model</w:t>
      </w:r>
      <w:r>
        <w:rPr>
          <w:rFonts w:ascii="Times New Roman" w:cs="Times New Roman" w:eastAsia="Times New Roman" w:hAnsi="Times New Roman"/>
          <w:sz w:val="24"/>
          <w:szCs w:val="24"/>
        </w:rPr>
        <w:t xml:space="preserve"> of eHealth adoption—a structured framework that integrates </w:t>
      </w:r>
      <w:r>
        <w:rPr>
          <w:rFonts w:ascii="Times New Roman" w:cs="Times New Roman" w:eastAsia="Times New Roman" w:hAnsi="Times New Roman"/>
          <w:b/>
          <w:bCs/>
          <w:sz w:val="24"/>
          <w:szCs w:val="24"/>
        </w:rPr>
        <w:t xml:space="preserve">U</w:t>
      </w:r>
      <w:r>
        <w:rPr>
          <w:rFonts w:ascii="Times New Roman" w:cs="Times New Roman" w:eastAsia="Times New Roman" w:hAnsi="Times New Roman"/>
          <w:sz w:val="24"/>
          <w:szCs w:val="24"/>
        </w:rPr>
        <w:t xml:space="preserve">ser Readiness, </w:t>
      </w:r>
      <w:r>
        <w:rPr>
          <w:rFonts w:ascii="Times New Roman" w:cs="Times New Roman" w:eastAsia="Times New Roman" w:hAnsi="Times New Roman"/>
          <w:b/>
          <w:bCs/>
          <w:sz w:val="24"/>
          <w:szCs w:val="24"/>
        </w:rPr>
        <w:t xml:space="preserve">T</w:t>
      </w:r>
      <w:r>
        <w:rPr>
          <w:rFonts w:ascii="Times New Roman" w:cs="Times New Roman" w:eastAsia="Times New Roman" w:hAnsi="Times New Roman"/>
          <w:sz w:val="24"/>
          <w:szCs w:val="24"/>
        </w:rPr>
        <w:t xml:space="preserve">echnical Interoperability,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nstitutional Alignment, and </w:t>
      </w:r>
      <w:r>
        <w:rPr>
          <w:rFonts w:ascii="Times New Roman" w:cs="Times New Roman" w:eastAsia="Times New Roman" w:hAnsi="Times New Roman"/>
          <w:b/>
          <w:bCs/>
          <w:sz w:val="24"/>
          <w:szCs w:val="24"/>
        </w:rPr>
        <w:t xml:space="preserve">O</w:t>
      </w:r>
      <w:r>
        <w:rPr>
          <w:rFonts w:ascii="Times New Roman" w:cs="Times New Roman" w:eastAsia="Times New Roman" w:hAnsi="Times New Roman"/>
          <w:sz w:val="24"/>
          <w:szCs w:val="24"/>
        </w:rPr>
        <w:t xml:space="preserve">rganizational Execution as the four interdependent determinants of successful eHealth systems adoption.</w:t>
      </w:r>
    </w:p>
    <w:p>
      <w:pPr>
        <w:spacing w:after="200" w:line="480"/>
      </w:pPr>
      <w:r>
        <w:rPr>
          <w:rFonts w:ascii="Times New Roman" w:cs="Times New Roman" w:eastAsia="Times New Roman" w:hAnsi="Times New Roman"/>
          <w:sz w:val="24"/>
          <w:szCs w:val="24"/>
        </w:rPr>
        <w:t xml:space="preserve">The U-T-I-O Model advances the field by synthesizing determinants from empirical research and real-world evidence into a single operationalizable construct that explicitly incorporates the institutional and policy dimensions distinguishing healthcare from other IS adoption contexts. It provides leaders, system architects, and policymakers with a practical diagnostic tool for assessing adoption readiness and identifying domain-specific gaps. The scope of this study is explicitly bounded to </w:t>
      </w:r>
      <w:r>
        <w:rPr>
          <w:rFonts w:ascii="Times New Roman" w:cs="Times New Roman" w:eastAsia="Times New Roman" w:hAnsi="Times New Roman"/>
          <w:i/>
          <w:iCs/>
          <w:sz w:val="24"/>
          <w:szCs w:val="24"/>
        </w:rPr>
        <w:t xml:space="preserve">implementation readiness and maturity</w:t>
      </w:r>
      <w:r>
        <w:rPr>
          <w:rFonts w:ascii="Times New Roman" w:cs="Times New Roman" w:eastAsia="Times New Roman" w:hAnsi="Times New Roman"/>
          <w:sz w:val="24"/>
          <w:szCs w:val="24"/>
        </w:rPr>
        <w:t xml:space="preserve">: the model characterizes the organizational, technical, institutional, and human conditions under which eHealth systems are positioned for sustainable adoption.</w:t>
      </w:r>
    </w:p>
    <w:p>
      <w:pPr>
        <w:spacing w:after="200" w:line="480"/>
      </w:pPr>
      <w:r>
        <w:rPr>
          <w:rFonts w:ascii="Times New Roman" w:cs="Times New Roman" w:eastAsia="Times New Roman" w:hAnsi="Times New Roman"/>
          <w:sz w:val="24"/>
          <w:szCs w:val="24"/>
        </w:rPr>
        <w:t xml:space="preserve">This article is organized as follows: Section 2 reviews the theoretical foundations; Section 3 presents the research questions; Section 4 describes the methodology; Section 5 reports findings; Section 6 discusses implications; and Sections 7–8 address limitations and conclusions.</w:t>
      </w:r>
    </w:p>
    <w:p>
      <w:pPr>
        <w:pStyle w:val="Heading1"/>
        <w:spacing w:after="200" w:before="480"/>
      </w:pPr>
      <w:r>
        <w:rPr>
          <w:rFonts w:ascii="Times New Roman" w:cs="Times New Roman" w:eastAsia="Times New Roman" w:hAnsi="Times New Roman"/>
          <w:b/>
          <w:bCs/>
          <w:sz w:val="28"/>
          <w:szCs w:val="28"/>
        </w:rPr>
        <w:t xml:space="preserve">2. Background and Theoretical Foundation</w:t>
      </w:r>
    </w:p>
    <w:p>
      <w:pPr>
        <w:pStyle w:val="Heading2"/>
        <w:spacing w:after="160" w:before="360"/>
      </w:pPr>
      <w:r>
        <w:rPr>
          <w:rFonts w:ascii="Times New Roman" w:cs="Times New Roman" w:eastAsia="Times New Roman" w:hAnsi="Times New Roman"/>
          <w:b/>
          <w:bCs/>
          <w:sz w:val="26"/>
          <w:szCs w:val="26"/>
        </w:rPr>
        <w:t xml:space="preserve">2.1 DeLone and McLean Information Systems Success Model</w:t>
      </w:r>
    </w:p>
    <w:p>
      <w:pPr>
        <w:spacing w:after="200" w:line="480"/>
      </w:pPr>
      <w:r>
        <w:rPr>
          <w:rFonts w:ascii="Times New Roman" w:cs="Times New Roman" w:eastAsia="Times New Roman" w:hAnsi="Times New Roman"/>
          <w:sz w:val="24"/>
          <w:szCs w:val="24"/>
        </w:rPr>
        <w:t xml:space="preserve">The DeLone and McLean IS Success Model is among the most widely applied frameworks in information systems research [7]. Updated in 2003, the model identifies six dimensions of IS success—system quality, information quality, service quality, system use, user satisfaction, and net benefits—operating as a causal chain in which technical quality shapes use and satisfaction, which in turn determine realized benefits. In healthcare, the model has been applied to evaluate EHR implementations [13] and identify sources of user resistance to clinical information systems. For this study, system and information quality map onto the </w:t>
      </w:r>
      <w:r>
        <w:rPr>
          <w:rFonts w:ascii="Times New Roman" w:cs="Times New Roman" w:eastAsia="Times New Roman" w:hAnsi="Times New Roman"/>
          <w:i/>
          <w:iCs/>
          <w:sz w:val="24"/>
          <w:szCs w:val="24"/>
        </w:rPr>
        <w:t xml:space="preserve">technical interoperability</w:t>
      </w:r>
      <w:r>
        <w:rPr>
          <w:rFonts w:ascii="Times New Roman" w:cs="Times New Roman" w:eastAsia="Times New Roman" w:hAnsi="Times New Roman"/>
          <w:sz w:val="24"/>
          <w:szCs w:val="24"/>
        </w:rPr>
        <w:t xml:space="preserve"> (T) domain of the U-T-I-O framework; user satisfaction, perceived usefulness, and workflow fit map onto the </w:t>
      </w:r>
      <w:r>
        <w:rPr>
          <w:rFonts w:ascii="Times New Roman" w:cs="Times New Roman" w:eastAsia="Times New Roman" w:hAnsi="Times New Roman"/>
          <w:i/>
          <w:iCs/>
          <w:sz w:val="24"/>
          <w:szCs w:val="24"/>
        </w:rPr>
        <w:t xml:space="preserve">user readiness</w:t>
      </w:r>
      <w:r>
        <w:rPr>
          <w:rFonts w:ascii="Times New Roman" w:cs="Times New Roman" w:eastAsia="Times New Roman" w:hAnsi="Times New Roman"/>
          <w:sz w:val="24"/>
          <w:szCs w:val="24"/>
        </w:rPr>
        <w:t xml:space="preserve"> (U) domain.</w:t>
      </w:r>
    </w:p>
    <w:p>
      <w:pPr>
        <w:pStyle w:val="Heading2"/>
        <w:spacing w:after="160" w:before="360"/>
      </w:pPr>
      <w:r>
        <w:rPr>
          <w:rFonts w:ascii="Times New Roman" w:cs="Times New Roman" w:eastAsia="Times New Roman" w:hAnsi="Times New Roman"/>
          <w:b/>
          <w:bCs/>
          <w:sz w:val="26"/>
          <w:szCs w:val="26"/>
        </w:rPr>
        <w:t xml:space="preserve">2.2 Technology-Organization-Environment Framework</w:t>
      </w:r>
    </w:p>
    <w:p>
      <w:pPr>
        <w:spacing w:after="200" w:line="480"/>
      </w:pPr>
      <w:r>
        <w:rPr>
          <w:rFonts w:ascii="Times New Roman" w:cs="Times New Roman" w:eastAsia="Times New Roman" w:hAnsi="Times New Roman"/>
          <w:sz w:val="24"/>
          <w:szCs w:val="24"/>
        </w:rPr>
        <w:t xml:space="preserve">The Technology-Organization-Environment (TOE) Framework [8] situates adoption decisions within three contextual domains: the </w:t>
      </w:r>
      <w:r>
        <w:rPr>
          <w:rFonts w:ascii="Times New Roman" w:cs="Times New Roman" w:eastAsia="Times New Roman" w:hAnsi="Times New Roman"/>
          <w:i/>
          <w:iCs/>
          <w:sz w:val="24"/>
          <w:szCs w:val="24"/>
        </w:rPr>
        <w:t xml:space="preserve">technological</w:t>
      </w:r>
      <w:r>
        <w:rPr>
          <w:rFonts w:ascii="Times New Roman" w:cs="Times New Roman" w:eastAsia="Times New Roman" w:hAnsi="Times New Roman"/>
          <w:sz w:val="24"/>
          <w:szCs w:val="24"/>
        </w:rPr>
        <w:t xml:space="preserve"> context (available and emerging technologies), the </w:t>
      </w:r>
      <w:r>
        <w:rPr>
          <w:rFonts w:ascii="Times New Roman" w:cs="Times New Roman" w:eastAsia="Times New Roman" w:hAnsi="Times New Roman"/>
          <w:i/>
          <w:iCs/>
          <w:sz w:val="24"/>
          <w:szCs w:val="24"/>
        </w:rPr>
        <w:t xml:space="preserve">organizational</w:t>
      </w:r>
      <w:r>
        <w:rPr>
          <w:rFonts w:ascii="Times New Roman" w:cs="Times New Roman" w:eastAsia="Times New Roman" w:hAnsi="Times New Roman"/>
          <w:sz w:val="24"/>
          <w:szCs w:val="24"/>
        </w:rPr>
        <w:t xml:space="preserve"> context (structure, resources, and human capital), and the </w:t>
      </w:r>
      <w:r>
        <w:rPr>
          <w:rFonts w:ascii="Times New Roman" w:cs="Times New Roman" w:eastAsia="Times New Roman" w:hAnsi="Times New Roman"/>
          <w:i/>
          <w:iCs/>
          <w:sz w:val="24"/>
          <w:szCs w:val="24"/>
        </w:rPr>
        <w:t xml:space="preserve">environmental</w:t>
      </w:r>
      <w:r>
        <w:rPr>
          <w:rFonts w:ascii="Times New Roman" w:cs="Times New Roman" w:eastAsia="Times New Roman" w:hAnsi="Times New Roman"/>
          <w:sz w:val="24"/>
          <w:szCs w:val="24"/>
        </w:rPr>
        <w:t xml:space="preserve"> context (regulatory pressures, competitive forces, and inter-organizational relationships). In healthcare, the environmental context is especially determinative: organizations adopt health IT primarily in response to regulatory requirements (HITECH, 21st Century Cures Act), quality reporting mandates, and patient safety imperatives rather than competitive market signals [14,15]. The TOE framework’s explicit attention to this regulatory environment makes it particularly well-suited to the healthcare domain. For this study, the environmental context maps onto the </w:t>
      </w:r>
      <w:r>
        <w:rPr>
          <w:rFonts w:ascii="Times New Roman" w:cs="Times New Roman" w:eastAsia="Times New Roman" w:hAnsi="Times New Roman"/>
          <w:i/>
          <w:iCs/>
          <w:sz w:val="24"/>
          <w:szCs w:val="24"/>
        </w:rPr>
        <w:t xml:space="preserve">institutional alignment</w:t>
      </w:r>
      <w:r>
        <w:rPr>
          <w:rFonts w:ascii="Times New Roman" w:cs="Times New Roman" w:eastAsia="Times New Roman" w:hAnsi="Times New Roman"/>
          <w:sz w:val="24"/>
          <w:szCs w:val="24"/>
        </w:rPr>
        <w:t xml:space="preserve"> (I) domain of the U-T-I-O model, and the organizational context maps onto </w:t>
      </w:r>
      <w:r>
        <w:rPr>
          <w:rFonts w:ascii="Times New Roman" w:cs="Times New Roman" w:eastAsia="Times New Roman" w:hAnsi="Times New Roman"/>
          <w:i/>
          <w:iCs/>
          <w:sz w:val="24"/>
          <w:szCs w:val="24"/>
        </w:rPr>
        <w:t xml:space="preserve">organizational execution</w:t>
      </w:r>
      <w:r>
        <w:rPr>
          <w:rFonts w:ascii="Times New Roman" w:cs="Times New Roman" w:eastAsia="Times New Roman" w:hAnsi="Times New Roman"/>
          <w:sz w:val="24"/>
          <w:szCs w:val="24"/>
        </w:rPr>
        <w:t xml:space="preserve"> (O).</w:t>
      </w:r>
    </w:p>
    <w:p>
      <w:pPr>
        <w:pStyle w:val="Heading2"/>
        <w:spacing w:after="160" w:before="360"/>
      </w:pPr>
      <w:r>
        <w:rPr>
          <w:rFonts w:ascii="Times New Roman" w:cs="Times New Roman" w:eastAsia="Times New Roman" w:hAnsi="Times New Roman"/>
          <w:b/>
          <w:bCs/>
          <w:sz w:val="26"/>
          <w:szCs w:val="26"/>
        </w:rPr>
        <w:t xml:space="preserve">2.3 Healthcare Interoperability Policy Context</w:t>
      </w:r>
    </w:p>
    <w:p>
      <w:pPr>
        <w:spacing w:after="200" w:line="480"/>
      </w:pPr>
      <w:r>
        <w:rPr>
          <w:rFonts w:ascii="Times New Roman" w:cs="Times New Roman" w:eastAsia="Times New Roman" w:hAnsi="Times New Roman"/>
          <w:sz w:val="24"/>
          <w:szCs w:val="24"/>
        </w:rPr>
        <w:t xml:space="preserve">The adoption of eHealth systems does not occur in a policy vacuum. In the United States, the HITECH Act of 2009 established meaningful use incentive programs that drove EHR adoption rates from approximately 10% to over 80% among hospital systems within a decade [16,2]. The 21st Century Cures Act (2016) and its implementing regulations further mandated API standards, prohibited information blocking, and required patient access to electronic health information. At the international level, national digital health strategies in the United Kingdom (NHS Long Term Plan), Estonia (X-Road data exchange layer), Australia (My Health Record), and Canada (Canada Health Infoway) have each pursued interoperability through distinct policy and governance mechanisms.</w:t>
      </w:r>
    </w:p>
    <w:p>
      <w:pPr>
        <w:spacing w:after="200" w:line="480"/>
      </w:pPr>
      <w:r>
        <w:rPr>
          <w:rFonts w:ascii="Times New Roman" w:cs="Times New Roman" w:eastAsia="Times New Roman" w:hAnsi="Times New Roman"/>
          <w:sz w:val="24"/>
          <w:szCs w:val="24"/>
        </w:rPr>
        <w:t xml:space="preserve">These policy environments are not merely background context—they are constitutive determinants of eHealth adoption. Organizations that align their adoption strategies with regulatory incentive structures, interoperability mandates, and national governance frameworks achieve systematically better adoption outcomes than those that treat compliance as an afterthought [14]. This insight is central to the institutional alignment domain of the U-T-I-O model.</w:t>
      </w:r>
    </w:p>
    <w:p>
      <w:pPr>
        <w:pStyle w:val="Heading2"/>
        <w:spacing w:after="160" w:before="360"/>
      </w:pPr>
      <w:r>
        <w:rPr>
          <w:rFonts w:ascii="Times New Roman" w:cs="Times New Roman" w:eastAsia="Times New Roman" w:hAnsi="Times New Roman"/>
          <w:b/>
          <w:bCs/>
          <w:sz w:val="26"/>
          <w:szCs w:val="26"/>
        </w:rPr>
        <w:t xml:space="preserve">2.4 Synthesis: The U-T-I-O Model</w:t>
      </w:r>
    </w:p>
    <w:p>
      <w:pPr>
        <w:spacing w:after="200" w:line="480"/>
      </w:pPr>
      <w:r>
        <w:rPr>
          <w:rFonts w:ascii="Times New Roman" w:cs="Times New Roman" w:eastAsia="Times New Roman" w:hAnsi="Times New Roman"/>
          <w:sz w:val="24"/>
          <w:szCs w:val="24"/>
        </w:rPr>
        <w:t xml:space="preserve">Drawing on the DeLone and McLean IS Success Model, the TOE Framework, and the healthcare policy literature, this study proposes the </w:t>
      </w:r>
      <w:r>
        <w:rPr>
          <w:rFonts w:ascii="Times New Roman" w:cs="Times New Roman" w:eastAsia="Times New Roman" w:hAnsi="Times New Roman"/>
          <w:b/>
          <w:bCs/>
          <w:sz w:val="24"/>
          <w:szCs w:val="24"/>
        </w:rPr>
        <w:t xml:space="preserve">U-T-I-O Model</w:t>
      </w:r>
      <w:r>
        <w:rPr>
          <w:rFonts w:ascii="Times New Roman" w:cs="Times New Roman" w:eastAsia="Times New Roman" w:hAnsi="Times New Roman"/>
          <w:sz w:val="24"/>
          <w:szCs w:val="24"/>
        </w:rPr>
        <w:t xml:space="preserve"> as an integrative framework for understanding eHealth systems adoption. The model posits that sustainable adoption is a function of four interdependent domains:</w:t>
      </w:r>
    </w:p>
    <w:p>
      <w:pPr>
        <w:spacing w:after="200" w:line="480"/>
        <w:jc w:val="center"/>
      </w:pPr>
      <w:r>
        <w:rPr>
          <w:rFonts w:ascii="Times New Roman" w:cs="Times New Roman" w:eastAsia="Times New Roman" w:hAnsi="Times New Roman"/>
          <w:sz w:val="24"/>
          <w:szCs w:val="24"/>
        </w:rPr>
        <w:t xml:space="preserve">Adoption = f(U, T, I, O)</w:t>
      </w:r>
    </w:p>
    <w:p>
      <w:pPr>
        <w:spacing w:after="200" w:line="480"/>
      </w:pPr>
      <w:r>
        <w:rPr>
          <w:rFonts w:ascii="Times New Roman" w:cs="Times New Roman" w:eastAsia="Times New Roman" w:hAnsi="Times New Roman"/>
          <w:sz w:val="24"/>
          <w:szCs w:val="24"/>
        </w:rPr>
        <w:t xml:space="preserve">where:</w:t>
      </w:r>
    </w:p>
    <w:p>
      <w:pPr>
        <w:pStyle w:val="ListParagraph"/>
        <w:numPr>
          <w:ilvl w:val="0"/>
          <w:numId w:val="2"/>
        </w:numPr>
        <w:spacing w:after="120" w:line="480"/>
      </w:pPr>
      <w:r>
        <w:rPr>
          <w:rFonts w:ascii="Times New Roman" w:cs="Times New Roman" w:eastAsia="Times New Roman" w:hAnsi="Times New Roman"/>
          <w:sz w:val="24"/>
          <w:szCs w:val="24"/>
        </w:rPr>
        <w:t xml:space="preserve">U (User Readiness) captures the human factors of adoption: usability, workflow integration, perceived usefulness, trust, training adequacy, and user satisfaction. Drawn from the use and user satisfaction dimensions of DeLone and McLean, and the human capital dimension of the TOE organizational context.</w:t>
      </w:r>
    </w:p>
    <w:p>
      <w:pPr>
        <w:pStyle w:val="ListParagraph"/>
        <w:numPr>
          <w:ilvl w:val="0"/>
          <w:numId w:val="2"/>
        </w:numPr>
        <w:spacing w:after="120" w:line="480"/>
      </w:pPr>
      <w:r>
        <w:rPr>
          <w:rFonts w:ascii="Times New Roman" w:cs="Times New Roman" w:eastAsia="Times New Roman" w:hAnsi="Times New Roman"/>
          <w:sz w:val="24"/>
          <w:szCs w:val="24"/>
        </w:rPr>
        <w:t xml:space="preserve">T (Technical Interoperability) encompasses the system and data quality dimensions: semantic and syntactic interoperability, information completeness, interface reliability, and integration with existing clinical systems. Drawn from the system quality and information quality dimensions of DeLone and McLean, and the technological context of TOE.</w:t>
      </w:r>
    </w:p>
    <w:p>
      <w:pPr>
        <w:pStyle w:val="ListParagraph"/>
        <w:numPr>
          <w:ilvl w:val="0"/>
          <w:numId w:val="2"/>
        </w:numPr>
        <w:spacing w:after="120" w:line="480"/>
      </w:pPr>
      <w:r>
        <w:rPr>
          <w:rFonts w:ascii="Times New Roman" w:cs="Times New Roman" w:eastAsia="Times New Roman" w:hAnsi="Times New Roman"/>
          <w:sz w:val="24"/>
          <w:szCs w:val="24"/>
        </w:rPr>
        <w:t xml:space="preserve">I (Institutional Alignment) reflects the regulatory, policy, and governance environment: interoperability mandates, national digital health strategy, information governance frameworks, privacy law compliance, and incentive alignment. Drawn from the environmental context of TOE and the healthcare policy literature.</w:t>
      </w:r>
    </w:p>
    <w:p>
      <w:pPr>
        <w:pStyle w:val="ListParagraph"/>
        <w:numPr>
          <w:ilvl w:val="0"/>
          <w:numId w:val="2"/>
        </w:numPr>
        <w:spacing w:after="120" w:line="480"/>
      </w:pPr>
      <w:r>
        <w:rPr>
          <w:rFonts w:ascii="Times New Roman" w:cs="Times New Roman" w:eastAsia="Times New Roman" w:hAnsi="Times New Roman"/>
          <w:sz w:val="24"/>
          <w:szCs w:val="24"/>
        </w:rPr>
        <w:t xml:space="preserve">O (Organizational Execution) captures the internal organizational determinants: leadership commitment, implementation planning, change management, stakeholder engagement, vendor governance, and resource capacity. Drawn from the organizational context of TOE.</w:t>
      </w:r>
    </w:p>
    <w:p>
      <w:pPr>
        <w:spacing w:after="100"/>
      </w:pPr>
      <w:r>
        <w:t xml:space="preserve"/>
      </w:r>
    </w:p>
    <w:p>
      <w:pPr>
        <w:spacing w:after="200" w:line="480"/>
      </w:pPr>
      <w:r>
        <w:rPr>
          <w:rFonts w:ascii="Times New Roman" w:cs="Times New Roman" w:eastAsia="Times New Roman" w:hAnsi="Times New Roman"/>
          <w:sz w:val="24"/>
          <w:szCs w:val="24"/>
        </w:rPr>
        <w:t xml:space="preserve">The U-T-I-O Model differs from prior frameworks in three ways: it integrates institutional and policy dimensions that generic IS frameworks treat as peripheral; it is operationalized at the domain level for diagnostic application across heterogeneous contexts; and it is grounded in both systematic review evidence and real-world implementation cases, bridging theory and practice.</w:t>
      </w:r>
    </w:p>
    <w:p>
      <w:pPr>
        <w:pStyle w:val="Heading1"/>
        <w:spacing w:after="200" w:before="480"/>
      </w:pPr>
      <w:r>
        <w:rPr>
          <w:rFonts w:ascii="Times New Roman" w:cs="Times New Roman" w:eastAsia="Times New Roman" w:hAnsi="Times New Roman"/>
          <w:b/>
          <w:bCs/>
          <w:sz w:val="28"/>
          <w:szCs w:val="28"/>
        </w:rPr>
        <w:t xml:space="preserve">3. Research Questions</w:t>
      </w:r>
    </w:p>
    <w:p>
      <w:pPr>
        <w:pStyle w:val="ListParagraph"/>
        <w:numPr>
          <w:ilvl w:val="0"/>
          <w:numId w:val="3"/>
        </w:numPr>
        <w:spacing w:after="120" w:line="480"/>
      </w:pPr>
      <w:r>
        <w:rPr>
          <w:rFonts w:ascii="Times New Roman" w:cs="Times New Roman" w:eastAsia="Times New Roman" w:hAnsi="Times New Roman"/>
          <w:sz w:val="24"/>
          <w:szCs w:val="24"/>
        </w:rPr>
        <w:t xml:space="preserve">RQ1: What determinants most consistently influence eHealth systems adoption?</w:t>
      </w:r>
    </w:p>
    <w:p>
      <w:pPr>
        <w:pStyle w:val="ListParagraph"/>
        <w:numPr>
          <w:ilvl w:val="0"/>
          <w:numId w:val="3"/>
        </w:numPr>
        <w:spacing w:after="120" w:line="480"/>
      </w:pPr>
      <w:r>
        <w:rPr>
          <w:rFonts w:ascii="Times New Roman" w:cs="Times New Roman" w:eastAsia="Times New Roman" w:hAnsi="Times New Roman"/>
          <w:sz w:val="24"/>
          <w:szCs w:val="24"/>
        </w:rPr>
        <w:t xml:space="preserve">RQ2: How are these determinants reflected in real-world implementations?</w:t>
      </w:r>
    </w:p>
    <w:p>
      <w:pPr>
        <w:pStyle w:val="ListParagraph"/>
        <w:numPr>
          <w:ilvl w:val="0"/>
          <w:numId w:val="3"/>
        </w:numPr>
        <w:spacing w:after="120" w:line="480"/>
      </w:pPr>
      <w:r>
        <w:rPr>
          <w:rFonts w:ascii="Times New Roman" w:cs="Times New Roman" w:eastAsia="Times New Roman" w:hAnsi="Times New Roman"/>
          <w:sz w:val="24"/>
          <w:szCs w:val="24"/>
        </w:rPr>
        <w:t xml:space="preserve">RQ3: How can these determinants be synthesized into a reusable adoption model?</w:t>
      </w:r>
    </w:p>
    <w:p>
      <w:pPr>
        <w:pStyle w:val="Heading1"/>
        <w:spacing w:after="200" w:before="480"/>
      </w:pPr>
      <w:r>
        <w:rPr>
          <w:rFonts w:ascii="Times New Roman" w:cs="Times New Roman" w:eastAsia="Times New Roman" w:hAnsi="Times New Roman"/>
          <w:b/>
          <w:bCs/>
          <w:sz w:val="28"/>
          <w:szCs w:val="28"/>
        </w:rPr>
        <w:t xml:space="preserve">4. Methodology</w:t>
      </w:r>
    </w:p>
    <w:p>
      <w:pPr>
        <w:pStyle w:val="Heading2"/>
        <w:spacing w:after="160" w:before="360"/>
      </w:pPr>
      <w:r>
        <w:rPr>
          <w:rFonts w:ascii="Times New Roman" w:cs="Times New Roman" w:eastAsia="Times New Roman" w:hAnsi="Times New Roman"/>
          <w:b/>
          <w:bCs/>
          <w:sz w:val="26"/>
          <w:szCs w:val="26"/>
        </w:rPr>
        <w:t xml:space="preserve">4.1 Study Design</w:t>
      </w:r>
    </w:p>
    <w:p>
      <w:pPr>
        <w:spacing w:after="200" w:line="480"/>
      </w:pPr>
      <w:r>
        <w:rPr>
          <w:rFonts w:ascii="Times New Roman" w:cs="Times New Roman" w:eastAsia="Times New Roman" w:hAnsi="Times New Roman"/>
          <w:sz w:val="24"/>
          <w:szCs w:val="24"/>
        </w:rPr>
        <w:t xml:space="preserve">This study employs a mixed-methods design combining a PRISMA 2020-guided systematic review [17] with a purposive multi-case analysis of publicly documented national eHealth implementations. The systematic review provides a broad, synthesized evidence base of adoption determinants from the peer-reviewed and grey literature. The multi-case analysis applies the U-T-I-O framework to real-world implementation contexts, enabling validation and comparative assessment of how determinants manifest across different national and organizational settings. No primary data involving human subjects were collected or analyzed. Prospective protocol registration was not undertaken; the search strategy, inclusion and exclusion criteria, and U-T-I-O coding framework were defined prior to search execution and are fully documented in Supplementary File S1.</w:t>
      </w:r>
    </w:p>
    <w:p>
      <w:pPr>
        <w:pStyle w:val="Heading2"/>
        <w:spacing w:after="160" w:before="360"/>
      </w:pPr>
      <w:r>
        <w:rPr>
          <w:rFonts w:ascii="Times New Roman" w:cs="Times New Roman" w:eastAsia="Times New Roman" w:hAnsi="Times New Roman"/>
          <w:b/>
          <w:bCs/>
          <w:sz w:val="26"/>
          <w:szCs w:val="26"/>
        </w:rPr>
        <w:t xml:space="preserve">4.2 Systematic Review Protocol</w:t>
      </w:r>
    </w:p>
    <w:p>
      <w:pPr>
        <w:pStyle w:val="Heading3"/>
        <w:spacing w:after="120" w:before="240"/>
      </w:pPr>
      <w:r>
        <w:rPr>
          <w:rFonts w:ascii="Times New Roman" w:cs="Times New Roman" w:eastAsia="Times New Roman" w:hAnsi="Times New Roman"/>
          <w:b/>
          <w:bCs/>
          <w:i/>
          <w:iCs/>
          <w:sz w:val="24"/>
          <w:szCs w:val="24"/>
        </w:rPr>
        <w:t xml:space="preserve">4.2.1 Database Selection and Search Strategy</w:t>
      </w:r>
    </w:p>
    <w:p>
      <w:pPr>
        <w:spacing w:after="200" w:line="480"/>
      </w:pPr>
      <w:r>
        <w:rPr>
          <w:rFonts w:ascii="Times New Roman" w:cs="Times New Roman" w:eastAsia="Times New Roman" w:hAnsi="Times New Roman"/>
          <w:sz w:val="24"/>
          <w:szCs w:val="24"/>
        </w:rPr>
        <w:t xml:space="preserve">The systematic literature search covers three primary databases—PubMed/MEDLINE, IEEE Xplore, and Scopus—supplemented by Web of Science, CINAHL, Google Scholar, hand-searching of reference lists, and expert recommendations, for publications from 2003 through May 2026. The 2003 lower bound was selected to incorporate the DeLone and McLean IS Success Model [7] as a foundational theoretical anchor; the bulk of the empirical evidence base is drawn from 2015 onwards, covering the HITECH incentive era through current FHIR mandate implementation. Each search combined terms for the technology domain (“electronic health record,” “EHR,” “health information exchange,” “eHealth,” “interoperability”) with adoption-related terms (“adoption,” “implementation,” “barriers,” “facilitators,” “determinants,” “success factors”), with database-specific field tags, MeSH terms, and document-type filters applied. Full Boolean query strings for each database are provided in Supplementary File S1.</w:t>
      </w:r>
    </w:p>
    <w:p>
      <w:pPr>
        <w:pStyle w:val="Heading3"/>
        <w:spacing w:after="120" w:before="240"/>
      </w:pPr>
      <w:r>
        <w:rPr>
          <w:rFonts w:ascii="Times New Roman" w:cs="Times New Roman" w:eastAsia="Times New Roman" w:hAnsi="Times New Roman"/>
          <w:b/>
          <w:bCs/>
          <w:i/>
          <w:iCs/>
          <w:sz w:val="24"/>
          <w:szCs w:val="24"/>
        </w:rPr>
        <w:t xml:space="preserve">4.2.2 Inclusion and Exclusion Criteria</w:t>
      </w:r>
    </w:p>
    <w:p>
      <w:pPr>
        <w:spacing w:after="200" w:line="480"/>
      </w:pPr>
      <w:r>
        <w:rPr>
          <w:rFonts w:ascii="Times New Roman" w:cs="Times New Roman" w:eastAsia="Times New Roman" w:hAnsi="Times New Roman"/>
          <w:sz w:val="24"/>
          <w:szCs w:val="24"/>
        </w:rPr>
        <w:t xml:space="preserve">Records are included if they: (1) appear in peer-reviewed journals or as institutional/government reports; (2) focus on eHealth, EHR, EMR, HIE, health information technology, or clinical interoperability; (3) address adoption, implementation, barriers, facilitators, or determinants of system uptake; and (4) employ empirical, systematic review, scoping review, or framework-based research designs. Records are excluded if they: (1) are opinion editorials, letters, or conference abstracts without full methodology; (2) address non-healthcare IT systems without healthcare application; or (3) are published in languages other than English.</w:t>
      </w:r>
    </w:p>
    <w:p>
      <w:pPr>
        <w:pStyle w:val="Heading3"/>
        <w:spacing w:after="120" w:before="240"/>
      </w:pPr>
      <w:r>
        <w:rPr>
          <w:rFonts w:ascii="Times New Roman" w:cs="Times New Roman" w:eastAsia="Times New Roman" w:hAnsi="Times New Roman"/>
          <w:b/>
          <w:bCs/>
          <w:i/>
          <w:iCs/>
          <w:sz w:val="24"/>
          <w:szCs w:val="24"/>
        </w:rPr>
        <w:t xml:space="preserve">4.2.3 Screening and Data Extraction</w:t>
      </w:r>
    </w:p>
    <w:p>
      <w:pPr>
        <w:spacing w:after="200" w:line="480"/>
      </w:pPr>
      <w:r>
        <w:rPr>
          <w:rFonts w:ascii="Times New Roman" w:cs="Times New Roman" w:eastAsia="Times New Roman" w:hAnsi="Times New Roman"/>
          <w:sz w:val="24"/>
          <w:szCs w:val="24"/>
        </w:rPr>
        <w:t xml:space="preserve">Retrieved records are deduplicated using reference management software. Title and abstract screening is applied to all retained records using the inclusion and exclusion criteria. Full-text review is conducted for records passing the initial screen. Data extraction is conducted using the U-T-I-O coding framework, applying thematic codes corresponding to each of the four adoption domains across all included sources. The resulting evidence base is documented in the evidence extraction matrix (Supplementary Table S1).</w:t>
      </w:r>
    </w:p>
    <w:p>
      <w:pPr>
        <w:spacing w:after="100"/>
      </w:pPr>
      <w:r>
        <w:t xml:space="preserve"/>
      </w:r>
    </w:p>
    <w:p>
      <w:pPr>
        <w:spacing w:after="120"/>
      </w:pPr>
      <w:r>
        <w:rPr>
          <w:rFonts w:ascii="Times New Roman" w:cs="Times New Roman" w:eastAsia="Times New Roman" w:hAnsi="Times New Roman"/>
          <w:b/>
          <w:bCs/>
          <w:sz w:val="22"/>
          <w:szCs w:val="22"/>
        </w:rPr>
        <w:t xml:space="preserve">Table 1. PRISMA 2020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60"/>
        <w:gridCol w:w="1700"/>
      </w:tblGrid>
      <w:tr>
        <w:tc>
          <w:tcPr>
            <w:tcW w:type="dxa" w:w="2200"/>
            <w:tcBorders>
              <w:top w:val="single" w:color="CCCCCC" w:sz="8"/>
              <w:left w:val="single" w:color="CCCCCC" w:sz="8"/>
              <w:bottom w:val="single" w:color="CCCCCC" w:sz="8"/>
              <w:right w:val="single" w:color="CCCCCC" w:sz="8"/>
            </w:tcBorders>
            <w:shd w:fill="2E75B6"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Phase</w:t>
            </w:r>
          </w:p>
        </w:tc>
        <w:tc>
          <w:tcPr>
            <w:tcW w:type="dxa" w:w="5460"/>
            <w:tcBorders>
              <w:top w:val="single" w:color="CCCCCC" w:sz="8"/>
              <w:left w:val="single" w:color="CCCCCC" w:sz="8"/>
              <w:bottom w:val="single" w:color="CCCCCC" w:sz="8"/>
              <w:right w:val="single" w:color="CCCCCC" w:sz="8"/>
            </w:tcBorders>
            <w:shd w:fill="2E75B6"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Description</w:t>
            </w:r>
          </w:p>
        </w:tc>
        <w:tc>
          <w:tcPr>
            <w:tcW w:type="dxa" w:w="1700"/>
            <w:tcBorders>
              <w:top w:val="single" w:color="CCCCCC" w:sz="8"/>
              <w:left w:val="single" w:color="CCCCCC" w:sz="8"/>
              <w:bottom w:val="single" w:color="CCCCCC" w:sz="8"/>
              <w:right w:val="single" w:color="CCCCCC" w:sz="8"/>
            </w:tcBorders>
            <w:shd w:fill="2E75B6"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Count</w:t>
            </w:r>
          </w:p>
        </w:tc>
      </w:tr>
      <w:tr>
        <w:tc>
          <w:tcPr>
            <w:tcW w:type="dxa" w:w="22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Identification</w:t>
            </w:r>
          </w:p>
        </w:tc>
        <w:tc>
          <w:tcPr>
            <w:tcW w:type="dxa" w:w="54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Records identified from PubMed, IEEE Xplore, Scopus, and supplementary sources (WoS, CINAHL, Google Scholar, hand search, expert recommendations)</w:t>
            </w:r>
          </w:p>
        </w:tc>
        <w:tc>
          <w:tcPr>
            <w:tcW w:type="dxa" w:w="17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424</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Deduplication</w:t>
            </w:r>
          </w:p>
        </w:tc>
        <w:tc>
          <w:tcPr>
            <w:tcW w:type="dxa" w:w="54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Duplicate records removed</w:t>
            </w:r>
          </w:p>
        </w:tc>
        <w:tc>
          <w:tcPr>
            <w:tcW w:type="dxa" w:w="17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30</w:t>
            </w:r>
          </w:p>
        </w:tc>
      </w:tr>
      <w:tr>
        <w:tc>
          <w:tcPr>
            <w:tcW w:type="dxa" w:w="22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Screening</w:t>
            </w:r>
          </w:p>
        </w:tc>
        <w:tc>
          <w:tcPr>
            <w:tcW w:type="dxa" w:w="54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Titles and abstracts screened</w:t>
            </w:r>
          </w:p>
        </w:tc>
        <w:tc>
          <w:tcPr>
            <w:tcW w:type="dxa" w:w="17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394</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Exclusion</w:t>
            </w:r>
          </w:p>
        </w:tc>
        <w:tc>
          <w:tcPr>
            <w:tcW w:type="dxa" w:w="54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Records excluded during title/abstract screening</w:t>
            </w:r>
          </w:p>
        </w:tc>
        <w:tc>
          <w:tcPr>
            <w:tcW w:type="dxa" w:w="17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351</w:t>
            </w:r>
          </w:p>
        </w:tc>
      </w:tr>
      <w:tr>
        <w:tc>
          <w:tcPr>
            <w:tcW w:type="dxa" w:w="22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Eligibility</w:t>
            </w:r>
          </w:p>
        </w:tc>
        <w:tc>
          <w:tcPr>
            <w:tcW w:type="dxa" w:w="54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articles sought for retrieval</w:t>
            </w:r>
          </w:p>
        </w:tc>
        <w:tc>
          <w:tcPr>
            <w:tcW w:type="dxa" w:w="17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43</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Not Retrievable</w:t>
            </w:r>
          </w:p>
        </w:tc>
        <w:tc>
          <w:tcPr>
            <w:tcW w:type="dxa" w:w="54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articles not retrievable after library and ILL requests</w:t>
            </w:r>
          </w:p>
        </w:tc>
        <w:tc>
          <w:tcPr>
            <w:tcW w:type="dxa" w:w="17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2</w:t>
            </w:r>
          </w:p>
        </w:tc>
      </w:tr>
      <w:tr>
        <w:tc>
          <w:tcPr>
            <w:tcW w:type="dxa" w:w="22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Assessed</w:t>
            </w:r>
          </w:p>
        </w:tc>
        <w:tc>
          <w:tcPr>
            <w:tcW w:type="dxa" w:w="54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articles assessed for eligibility</w:t>
            </w:r>
          </w:p>
        </w:tc>
        <w:tc>
          <w:tcPr>
            <w:tcW w:type="dxa" w:w="17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41</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Exclusion</w:t>
            </w:r>
          </w:p>
        </w:tc>
        <w:tc>
          <w:tcPr>
            <w:tcW w:type="dxa" w:w="54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Full-text articles excluded with reasons (see Supplementary File S2)</w:t>
            </w:r>
          </w:p>
        </w:tc>
        <w:tc>
          <w:tcPr>
            <w:tcW w:type="dxa" w:w="17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24</w:t>
            </w:r>
          </w:p>
        </w:tc>
      </w:tr>
      <w:tr>
        <w:tc>
          <w:tcPr>
            <w:tcW w:type="dxa" w:w="22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Included</w:t>
            </w:r>
          </w:p>
        </w:tc>
        <w:tc>
          <w:tcPr>
            <w:tcW w:type="dxa" w:w="54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Studies included in qualitative synthesis</w:t>
            </w:r>
          </w:p>
        </w:tc>
        <w:tc>
          <w:tcPr>
            <w:tcW w:type="dxa" w:w="17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17</w:t>
            </w:r>
          </w:p>
        </w:tc>
      </w:tr>
      <w:tr>
        <w:tc>
          <w:tcPr>
            <w:tcW w:type="dxa" w:w="22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Case Sources</w:t>
            </w:r>
          </w:p>
        </w:tc>
        <w:tc>
          <w:tcPr>
            <w:tcW w:type="dxa" w:w="54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Public implementation cases included in multi-case analysis</w:t>
            </w:r>
          </w:p>
        </w:tc>
        <w:tc>
          <w:tcPr>
            <w:tcW w:type="dxa" w:w="17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4</w:t>
            </w:r>
          </w:p>
        </w:tc>
      </w:tr>
    </w:tbl>
    <w:p>
      <w:pPr>
        <w:spacing w:after="240" w:before="80"/>
      </w:pPr>
      <w:r>
        <w:rPr>
          <w:rFonts w:ascii="Times New Roman" w:cs="Times New Roman" w:eastAsia="Times New Roman" w:hAnsi="Times New Roman"/>
          <w:sz w:val="20"/>
          <w:szCs w:val="20"/>
        </w:rPr>
        <w:t xml:space="preserve">Note. 424 records identified across 8 sources; 17 studies retained after screening and eligibility assessment. Full per-database breakdown and search strings in Supplementary File S1. Exclusion reasons for 24 full-text exclusions in Supplementary File S2.</w:t>
      </w:r>
    </w:p>
    <w:p>
      <w:pPr>
        <w:pStyle w:val="Heading2"/>
        <w:spacing w:after="160" w:before="360"/>
      </w:pPr>
      <w:r>
        <w:rPr>
          <w:rFonts w:ascii="Times New Roman" w:cs="Times New Roman" w:eastAsia="Times New Roman" w:hAnsi="Times New Roman"/>
          <w:b/>
          <w:bCs/>
          <w:sz w:val="26"/>
          <w:szCs w:val="26"/>
        </w:rPr>
        <w:t xml:space="preserve">4.3 Multi-Case Analysis</w:t>
      </w:r>
    </w:p>
    <w:p>
      <w:pPr>
        <w:pStyle w:val="Heading3"/>
        <w:spacing w:after="120" w:before="240"/>
      </w:pPr>
      <w:r>
        <w:rPr>
          <w:rFonts w:ascii="Times New Roman" w:cs="Times New Roman" w:eastAsia="Times New Roman" w:hAnsi="Times New Roman"/>
          <w:b/>
          <w:bCs/>
          <w:i/>
          <w:iCs/>
          <w:sz w:val="24"/>
          <w:szCs w:val="24"/>
        </w:rPr>
        <w:t xml:space="preserve">4.3.1 Case Selection</w:t>
      </w:r>
    </w:p>
    <w:p>
      <w:pPr>
        <w:spacing w:after="200" w:line="480"/>
      </w:pPr>
      <w:r>
        <w:rPr>
          <w:rFonts w:ascii="Times New Roman" w:cs="Times New Roman" w:eastAsia="Times New Roman" w:hAnsi="Times New Roman"/>
          <w:sz w:val="24"/>
          <w:szCs w:val="24"/>
        </w:rPr>
        <w:t xml:space="preserve">Four national eHealth implementations were selected for comparative analysis using purposive sampling [18,19,12]. Cases were selected to maximize variation in national context, governance structure, and adoption maturity, while ensuring sufficient publicly available documentation existed for systematic analysis. Selected cases include:</w:t>
      </w:r>
    </w:p>
    <w:p>
      <w:pPr>
        <w:pStyle w:val="ListParagraph"/>
        <w:numPr>
          <w:ilvl w:val="0"/>
          <w:numId w:val="2"/>
        </w:numPr>
        <w:spacing w:after="120" w:line="480"/>
      </w:pPr>
      <w:r>
        <w:rPr>
          <w:rFonts w:ascii="Times New Roman" w:cs="Times New Roman" w:eastAsia="Times New Roman" w:hAnsi="Times New Roman"/>
          <w:sz w:val="24"/>
          <w:szCs w:val="24"/>
        </w:rPr>
        <w:t xml:space="preserve">U.S. ONC Health Information Exchange Programs — representing the dominant federated, market-based model of HIE development, supported by HITECH Act incentives [2]</w:t>
      </w:r>
    </w:p>
    <w:p>
      <w:pPr>
        <w:pStyle w:val="ListParagraph"/>
        <w:numPr>
          <w:ilvl w:val="0"/>
          <w:numId w:val="2"/>
        </w:numPr>
        <w:spacing w:after="120" w:line="480"/>
      </w:pPr>
      <w:r>
        <w:rPr>
          <w:rFonts w:ascii="Times New Roman" w:cs="Times New Roman" w:eastAsia="Times New Roman" w:hAnsi="Times New Roman"/>
          <w:sz w:val="24"/>
          <w:szCs w:val="24"/>
        </w:rPr>
        <w:t xml:space="preserve">NHS Shared Care Records (UK) — representing a centrally coordinated national interoperability program within a single-payer health system [20]</w:t>
      </w:r>
    </w:p>
    <w:p>
      <w:pPr>
        <w:pStyle w:val="ListParagraph"/>
        <w:numPr>
          <w:ilvl w:val="0"/>
          <w:numId w:val="2"/>
        </w:numPr>
        <w:spacing w:after="120" w:line="480"/>
      </w:pPr>
      <w:r>
        <w:rPr>
          <w:rFonts w:ascii="Times New Roman" w:cs="Times New Roman" w:eastAsia="Times New Roman" w:hAnsi="Times New Roman"/>
          <w:sz w:val="24"/>
          <w:szCs w:val="24"/>
        </w:rPr>
        <w:t xml:space="preserve">Estonia National eHealth System — representing a comprehensive, legally mandated national digital health infrastructure built on the X-Road data exchange platform [3]</w:t>
      </w:r>
    </w:p>
    <w:p>
      <w:pPr>
        <w:pStyle w:val="ListParagraph"/>
        <w:numPr>
          <w:ilvl w:val="0"/>
          <w:numId w:val="2"/>
        </w:numPr>
        <w:spacing w:after="120" w:line="480"/>
      </w:pPr>
      <w:r>
        <w:rPr>
          <w:rFonts w:ascii="Times New Roman" w:cs="Times New Roman" w:eastAsia="Times New Roman" w:hAnsi="Times New Roman"/>
          <w:sz w:val="24"/>
          <w:szCs w:val="24"/>
        </w:rPr>
        <w:t xml:space="preserve">U.S. VA/DoD Federal EHR Modernization — representing a large-scale federal EHR replacement program with significant procurement and implementation challenges [5,6]</w:t>
      </w:r>
    </w:p>
    <w:p>
      <w:pPr>
        <w:pStyle w:val="Heading3"/>
        <w:spacing w:after="120" w:before="240"/>
      </w:pPr>
      <w:r>
        <w:rPr>
          <w:rFonts w:ascii="Times New Roman" w:cs="Times New Roman" w:eastAsia="Times New Roman" w:hAnsi="Times New Roman"/>
          <w:b/>
          <w:bCs/>
          <w:i/>
          <w:iCs/>
          <w:sz w:val="24"/>
          <w:szCs w:val="24"/>
        </w:rPr>
        <w:t xml:space="preserve">4.3.2 Case Analysis Protocol</w:t>
      </w:r>
    </w:p>
    <w:p>
      <w:pPr>
        <w:spacing w:after="200" w:line="480"/>
      </w:pPr>
      <w:r>
        <w:rPr>
          <w:rFonts w:ascii="Times New Roman" w:cs="Times New Roman" w:eastAsia="Times New Roman" w:hAnsi="Times New Roman"/>
          <w:sz w:val="24"/>
          <w:szCs w:val="24"/>
        </w:rPr>
        <w:t xml:space="preserve">Each case was analyzed using the U-T-I-O framework as the organizing construct. Primary sources—including official government reports, national agency publications, legislative documents, and independent audit findings—were reviewed and coded against the four domains. Domain-level ratings (High / Medium / Low–Medium / Low) were assigned via a preponderance-of-evidence rule using a four-construct rubric per domain; complete construct definitions, decision rules, and per-case justification are provided in Supplementary File S3. To check for single-reviewer bias, a supplementary AI-assisted second-rater pass (Anthropic Claude Opus 4.7) was conducted in which the AI re-rated all 16 case-domain cells without seeing the original ratings. The protocol, per-cell justifications, and adjudication log are provided in Supplementary File S4. Within-one-band agreement was strong (15/16; 93.8%), though exact agreement was lower (6/16; 37.5%). The linear-weighted Cohen’s κ was 0.27; at N = 16 this point estimate is high-variance, and we report it for transparency rather than inference. Notably, all ten disagreements ran in the same direction: the AI was consistently more conservative than the original ratings. This led to revision of two VA/DoD cells—User Readiness and Technical Interoperability—from Medium to Low–Medium, bringing them into closer alignment with the rubric’s explicit decision-rule triggers. Independent dual-rating with a credentialed human second rater remains an outstanding limitation of this study.</w:t>
      </w:r>
    </w:p>
    <w:p>
      <w:pPr>
        <w:pStyle w:val="Heading2"/>
        <w:spacing w:after="160" w:before="360"/>
      </w:pPr>
      <w:r>
        <w:rPr>
          <w:rFonts w:ascii="Times New Roman" w:cs="Times New Roman" w:eastAsia="Times New Roman" w:hAnsi="Times New Roman"/>
          <w:b/>
          <w:bCs/>
          <w:sz w:val="26"/>
          <w:szCs w:val="26"/>
        </w:rPr>
        <w:t xml:space="preserve">4.4 Analytical Model</w:t>
      </w:r>
    </w:p>
    <w:p>
      <w:pPr>
        <w:spacing w:after="200" w:line="480"/>
      </w:pPr>
      <w:r>
        <w:rPr>
          <w:rFonts w:ascii="Times New Roman" w:cs="Times New Roman" w:eastAsia="Times New Roman" w:hAnsi="Times New Roman"/>
          <w:sz w:val="24"/>
          <w:szCs w:val="24"/>
        </w:rPr>
        <w:t xml:space="preserve">The U-T-I-O Model operationalizes eHealth adoption as a function of four interdependent domains:</w:t>
      </w:r>
    </w:p>
    <w:p>
      <w:pPr>
        <w:spacing w:after="200" w:line="480"/>
        <w:jc w:val="center"/>
      </w:pPr>
      <w:r>
        <w:rPr>
          <w:rFonts w:ascii="Times New Roman" w:cs="Times New Roman" w:eastAsia="Times New Roman" w:hAnsi="Times New Roman"/>
          <w:sz w:val="24"/>
          <w:szCs w:val="24"/>
        </w:rPr>
        <w:t xml:space="preserve">Adoption = f(U, T, I, O)</w:t>
      </w:r>
    </w:p>
    <w:p>
      <w:pPr>
        <w:spacing w:after="200" w:line="480"/>
      </w:pPr>
      <w:r>
        <w:rPr>
          <w:rFonts w:ascii="Times New Roman" w:cs="Times New Roman" w:eastAsia="Times New Roman" w:hAnsi="Times New Roman"/>
          <w:sz w:val="24"/>
          <w:szCs w:val="24"/>
        </w:rPr>
        <w:t xml:space="preserve">where U denotes User Readiness, T denotes Technical Interoperability, I denotes Institutional Alignment, and O denotes Organizational Execution. The model posits that sustained adoption is most likely when all four domains achieve sufficient alignment, and that weakness in any single domain can constrain the adoption value realized even when other domains are strong.</w:t>
      </w:r>
    </w:p>
    <w:p>
      <w:pPr>
        <w:spacing w:after="100"/>
      </w:pPr>
      <w:r>
        <w:t xml:space="preserve"/>
      </w:r>
    </w:p>
    <w:p>
      <w:pPr>
        <w:spacing w:after="120"/>
      </w:pPr>
      <w:r>
        <w:rPr>
          <w:rFonts w:ascii="Times New Roman" w:cs="Times New Roman" w:eastAsia="Times New Roman" w:hAnsi="Times New Roman"/>
          <w:b/>
          <w:bCs/>
          <w:sz w:val="22"/>
          <w:szCs w:val="22"/>
        </w:rPr>
        <w:t xml:space="preserve">Table 2. U–T–I–O Coding Schema: Domain Constructs and Example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Domain</w:t>
            </w:r>
          </w:p>
        </w:tc>
        <w:tc>
          <w:tcPr>
            <w:tcW w:type="dxa" w:w="21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Construct</w:t>
            </w:r>
          </w:p>
        </w:tc>
        <w:tc>
          <w:tcPr>
            <w:tcW w:type="dxa" w:w="636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Example Codes</w:t>
            </w:r>
          </w:p>
        </w:tc>
      </w:tr>
      <w:tr>
        <w:tc>
          <w:tcPr>
            <w:tcW w:type="dxa" w:w="9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U</w:t>
            </w:r>
          </w:p>
        </w:tc>
        <w:tc>
          <w:tcPr>
            <w:tcW w:type="dxa" w:w="21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User Readiness</w:t>
            </w:r>
          </w:p>
        </w:tc>
        <w:tc>
          <w:tcPr>
            <w:tcW w:type="dxa" w:w="63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Usability; workflow fit; trust; perceived usefulness; training adequacy; user satisfaction; clinician burden reduction; patient portal engagement</w:t>
            </w:r>
          </w:p>
        </w:tc>
      </w:tr>
      <w:tr>
        <w:tc>
          <w:tcPr>
            <w:tcW w:type="dxa" w:w="9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T</w:t>
            </w:r>
          </w:p>
        </w:tc>
        <w:tc>
          <w:tcPr>
            <w:tcW w:type="dxa" w:w="21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Technical Interoperability</w:t>
            </w:r>
          </w:p>
        </w:tc>
        <w:tc>
          <w:tcPr>
            <w:tcW w:type="dxa" w:w="63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System quality; information quality; semantic interoperability; syntactic interoperability; interface reliability; data completeness; API compliance; EHR-to-EHR exchange</w:t>
            </w:r>
          </w:p>
        </w:tc>
      </w:tr>
      <w:tr>
        <w:tc>
          <w:tcPr>
            <w:tcW w:type="dxa" w:w="9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I</w:t>
            </w:r>
          </w:p>
        </w:tc>
        <w:tc>
          <w:tcPr>
            <w:tcW w:type="dxa" w:w="21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Institutional Alignment</w:t>
            </w:r>
          </w:p>
        </w:tc>
        <w:tc>
          <w:tcPr>
            <w:tcW w:type="dxa" w:w="63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Regulatory incentives; HITECH Act compliance; 21st Century Cures Act mandates; HIPAA de-identification; information blocking rules; national digital health strategy; interoperability mandates; information governance</w:t>
            </w:r>
          </w:p>
        </w:tc>
      </w:tr>
      <w:tr>
        <w:tc>
          <w:tcPr>
            <w:tcW w:type="dxa" w:w="9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sz w:val="20"/>
                <w:szCs w:val="20"/>
              </w:rPr>
              <w:t xml:space="preserve">O</w:t>
            </w:r>
          </w:p>
        </w:tc>
        <w:tc>
          <w:tcPr>
            <w:tcW w:type="dxa" w:w="21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Organizational Execution</w:t>
            </w:r>
          </w:p>
        </w:tc>
        <w:tc>
          <w:tcPr>
            <w:tcW w:type="dxa" w:w="63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Leadership commitment; implementation planning; change management; stakeholder engagement; vendor governance; resource capacity; project management maturity; inter-agency coordination</w:t>
            </w:r>
          </w:p>
        </w:tc>
      </w:tr>
    </w:tbl>
    <w:p>
      <w:pPr>
        <w:spacing w:after="240" w:before="80"/>
      </w:pPr>
      <w:r>
        <w:rPr>
          <w:rFonts w:ascii="Times New Roman" w:cs="Times New Roman" w:eastAsia="Times New Roman" w:hAnsi="Times New Roman"/>
          <w:sz w:val="20"/>
          <w:szCs w:val="20"/>
        </w:rPr>
        <w:t xml:space="preserve">Note. U = User Readiness; T = Technical Interoperability; I = Institutional Alignment; O = Organizational Execution.</w:t>
      </w:r>
    </w:p>
    <w:p>
      <w:pPr>
        <w:pStyle w:val="Heading1"/>
        <w:spacing w:after="200" w:before="480"/>
      </w:pPr>
      <w:r>
        <w:rPr>
          <w:rFonts w:ascii="Times New Roman" w:cs="Times New Roman" w:eastAsia="Times New Roman" w:hAnsi="Times New Roman"/>
          <w:b/>
          <w:bCs/>
          <w:sz w:val="28"/>
          <w:szCs w:val="28"/>
        </w:rPr>
        <w:t xml:space="preserve">5. Results</w:t>
      </w:r>
    </w:p>
    <w:p>
      <w:pPr>
        <w:pStyle w:val="Heading2"/>
        <w:spacing w:after="160" w:before="360"/>
      </w:pPr>
      <w:r>
        <w:rPr>
          <w:rFonts w:ascii="Times New Roman" w:cs="Times New Roman" w:eastAsia="Times New Roman" w:hAnsi="Times New Roman"/>
          <w:b/>
          <w:bCs/>
          <w:sz w:val="26"/>
          <w:szCs w:val="26"/>
        </w:rPr>
        <w:t xml:space="preserve">5.1 Evidence Base</w:t>
      </w:r>
    </w:p>
    <w:p>
      <w:pPr>
        <w:spacing w:after="200" w:line="480"/>
      </w:pPr>
      <w:r>
        <w:rPr>
          <w:rFonts w:ascii="Times New Roman" w:cs="Times New Roman" w:eastAsia="Times New Roman" w:hAnsi="Times New Roman"/>
          <w:sz w:val="24"/>
          <w:szCs w:val="24"/>
        </w:rPr>
        <w:t xml:space="preserve">The systematic review retained 17 sources for evidence extraction and thematic synthesis following application of inclusion and exclusion criteria. These included 4 systematic or umbrella reviews, 3 scoping or narrative reviews (including one IS theory foundation), 4 government and institutional reports (including GAO audit findings and ONC reports to Congress), and 6 policy, regulatory, and framework analyses (including national digital health strategy documents, interoperability legal frameworks, NIST governance standards, and HIPAA de-identification guidance). Additionally, 4 national eHealth implementation cases were analyzed using primary source documentation. The full evidence extraction matrix, including source-level U-T-I-O domain coding and key findings, is provided in Supplementary Table S1.</w:t>
      </w:r>
    </w:p>
    <w:p>
      <w:pPr>
        <w:pStyle w:val="Heading2"/>
        <w:spacing w:after="160" w:before="360"/>
      </w:pPr>
      <w:r>
        <w:rPr>
          <w:rFonts w:ascii="Times New Roman" w:cs="Times New Roman" w:eastAsia="Times New Roman" w:hAnsi="Times New Roman"/>
          <w:b/>
          <w:bCs/>
          <w:sz w:val="26"/>
          <w:szCs w:val="26"/>
        </w:rPr>
        <w:t xml:space="preserve">5.2 Systematic Review Findings</w:t>
      </w:r>
    </w:p>
    <w:p>
      <w:pPr>
        <w:spacing w:after="200" w:line="480"/>
      </w:pPr>
      <w:r>
        <w:rPr>
          <w:rFonts w:ascii="Times New Roman" w:cs="Times New Roman" w:eastAsia="Times New Roman" w:hAnsi="Times New Roman"/>
          <w:sz w:val="24"/>
          <w:szCs w:val="24"/>
        </w:rPr>
        <w:t xml:space="preserve">Across all 17 retained sources, adoption determinants consistently cluster into four domains corresponding to the U-T-I-O Model. No single technical or organizational variable emerged as independently determinative of adoption outcomes; rather, determinants across domains consistently co-occur and interact in shaping implementation success or failure.</w:t>
      </w:r>
    </w:p>
    <w:p>
      <w:pPr>
        <w:spacing w:after="200" w:line="480"/>
      </w:pPr>
      <w:r>
        <w:rPr>
          <w:rFonts w:ascii="Times New Roman" w:cs="Times New Roman" w:eastAsia="Times New Roman" w:hAnsi="Times New Roman"/>
          <w:sz w:val="24"/>
          <w:szCs w:val="24"/>
        </w:rPr>
        <w:t xml:space="preserve">User readiness determinants—including usability, workflow fit, trust, training, perceived usefulness, and user satisfaction—are reported across multiple systematic reviews [10,15,11] and are consistently linked to adoption success in qualitative case evidence [12]. Technical determinants—including system quality, information quality, semantic and syntactic interoperability, interface reliability, and data completeness—are identified as necessary infrastructure conditions [21,9]. Institutional determinants—regulatory incentives, national digital health strategy, privacy law compliance, and interoperability mandates—emerge as especially prominent in policy-intensive healthcare environments [14,15,2]. Organizational determinants—leadership, implementation planning, stakeholder engagement, change management, vendor governance, and resource capacity—are cited as execution-level differentiators between otherwise comparable implementations [15,5,6].</w:t>
      </w:r>
    </w:p>
    <w:p>
      <w:pPr>
        <w:pStyle w:val="Heading2"/>
        <w:spacing w:after="160" w:before="360"/>
      </w:pPr>
      <w:r>
        <w:rPr>
          <w:rFonts w:ascii="Times New Roman" w:cs="Times New Roman" w:eastAsia="Times New Roman" w:hAnsi="Times New Roman"/>
          <w:b/>
          <w:bCs/>
          <w:sz w:val="26"/>
          <w:szCs w:val="26"/>
        </w:rPr>
        <w:t xml:space="preserve">5.3 Multi-Case Findings</w:t>
      </w:r>
    </w:p>
    <w:p>
      <w:pPr>
        <w:spacing w:after="200" w:line="480"/>
      </w:pPr>
      <w:r>
        <w:rPr>
          <w:rFonts w:ascii="Times New Roman" w:cs="Times New Roman" w:eastAsia="Times New Roman" w:hAnsi="Times New Roman"/>
          <w:sz w:val="24"/>
          <w:szCs w:val="24"/>
        </w:rPr>
        <w:t xml:space="preserve">Four public cases were selected to compare determinant patterns across different implementation environments: ONC-supported U.S. health information exchange programs, NHS Shared Care Records, Estonia's national eHealth system, and VA/DoD federal EHR modernization.</w:t>
      </w:r>
    </w:p>
    <w:p>
      <w:pPr>
        <w:spacing w:after="100"/>
      </w:pPr>
      <w:r>
        <w:t xml:space="preserve"/>
      </w:r>
    </w:p>
    <w:p>
      <w:pPr>
        <w:spacing w:after="120"/>
      </w:pPr>
      <w:r>
        <w:rPr>
          <w:rFonts w:ascii="Times New Roman" w:cs="Times New Roman" w:eastAsia="Times New Roman" w:hAnsi="Times New Roman"/>
          <w:b/>
          <w:bCs/>
          <w:sz w:val="22"/>
          <w:szCs w:val="22"/>
        </w:rPr>
        <w:t xml:space="preserve">Table 3. Comparative Case Analysis of U–T–I–O Adoption Determinants Across Four National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1100"/>
        <w:gridCol w:w="3760"/>
      </w:tblGrid>
      <w:tr>
        <w:tc>
          <w:tcPr>
            <w:tcW w:type="dxa" w:w="18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Case</w:t>
            </w:r>
          </w:p>
        </w:tc>
        <w:tc>
          <w:tcPr>
            <w:tcW w:type="dxa" w:w="9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U</w:t>
            </w:r>
          </w:p>
        </w:tc>
        <w:tc>
          <w:tcPr>
            <w:tcW w:type="dxa" w:w="9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T</w:t>
            </w:r>
          </w:p>
        </w:tc>
        <w:tc>
          <w:tcPr>
            <w:tcW w:type="dxa" w:w="9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I</w:t>
            </w:r>
          </w:p>
        </w:tc>
        <w:tc>
          <w:tcPr>
            <w:tcW w:type="dxa" w:w="110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O</w:t>
            </w:r>
          </w:p>
        </w:tc>
        <w:tc>
          <w:tcPr>
            <w:tcW w:type="dxa" w:w="3760"/>
            <w:tcBorders>
              <w:top w:val="single" w:color="CCCCCC" w:sz="8"/>
              <w:left w:val="single" w:color="CCCCCC" w:sz="8"/>
              <w:bottom w:val="single" w:color="CCCCCC" w:sz="8"/>
              <w:right w:val="single" w:color="CCCCCC" w:sz="8"/>
            </w:tcBorders>
            <w:shd w:fill="1F386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color w:val="FFFFFF"/>
                <w:sz w:val="20"/>
                <w:szCs w:val="20"/>
              </w:rPr>
              <w:t xml:space="preserve">Interpretation</w:t>
            </w:r>
          </w:p>
        </w:tc>
      </w:tr>
      <w:tr>
        <w:tc>
          <w:tcPr>
            <w:tcW w:type="dxa" w:w="18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ONC HIE [2]</w:t>
            </w:r>
          </w:p>
        </w:tc>
        <w:tc>
          <w:tcPr>
            <w:tcW w:type="dxa" w:w="900"/>
            <w:tcBorders>
              <w:top w:val="single" w:color="CCCCCC" w:sz="8"/>
              <w:left w:val="single" w:color="CCCCCC" w:sz="8"/>
              <w:bottom w:val="single" w:color="CCCCCC" w:sz="8"/>
              <w:right w:val="single" w:color="CCCCCC" w:sz="8"/>
            </w:tcBorders>
            <w:shd w:fill="FFEB9C"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Medium</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1100"/>
            <w:tcBorders>
              <w:top w:val="single" w:color="CCCCCC" w:sz="8"/>
              <w:left w:val="single" w:color="CCCCCC" w:sz="8"/>
              <w:bottom w:val="single" w:color="CCCCCC" w:sz="8"/>
              <w:right w:val="single" w:color="CCCCCC" w:sz="8"/>
            </w:tcBorders>
            <w:shd w:fill="FFEB9C"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Medium</w:t>
            </w:r>
          </w:p>
        </w:tc>
        <w:tc>
          <w:tcPr>
            <w:tcW w:type="dxa" w:w="37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Strong policy and interoperability infrastructure; variable organizational uptake across participating entities.</w:t>
            </w:r>
          </w:p>
        </w:tc>
      </w:tr>
      <w:tr>
        <w:tc>
          <w:tcPr>
            <w:tcW w:type="dxa" w:w="18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NHS Shared Care Records [20]</w:t>
            </w:r>
          </w:p>
        </w:tc>
        <w:tc>
          <w:tcPr>
            <w:tcW w:type="dxa" w:w="900"/>
            <w:tcBorders>
              <w:top w:val="single" w:color="CCCCCC" w:sz="8"/>
              <w:left w:val="single" w:color="CCCCCC" w:sz="8"/>
              <w:bottom w:val="single" w:color="CCCCCC" w:sz="8"/>
              <w:right w:val="single" w:color="CCCCCC" w:sz="8"/>
            </w:tcBorders>
            <w:shd w:fill="FFEB9C"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Medium</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1100"/>
            <w:tcBorders>
              <w:top w:val="single" w:color="CCCCCC" w:sz="8"/>
              <w:left w:val="single" w:color="CCCCCC" w:sz="8"/>
              <w:bottom w:val="single" w:color="CCCCCC" w:sz="8"/>
              <w:right w:val="single" w:color="CCCCCC" w:sz="8"/>
            </w:tcBorders>
            <w:shd w:fill="FFEB9C"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Medium</w:t>
            </w:r>
          </w:p>
        </w:tc>
        <w:tc>
          <w:tcPr>
            <w:tcW w:type="dxa" w:w="37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Strong national interoperability vision; local information governance and workflow integration remain central challenges.</w:t>
            </w:r>
          </w:p>
        </w:tc>
      </w:tr>
      <w:tr>
        <w:tc>
          <w:tcPr>
            <w:tcW w:type="dxa" w:w="180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Estonia eHealth [3]</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11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3760"/>
            <w:tcBorders>
              <w:top w:val="single" w:color="CCCCCC" w:sz="8"/>
              <w:left w:val="single" w:color="CCCCCC" w:sz="8"/>
              <w:bottom w:val="single" w:color="CCCCCC" w:sz="8"/>
              <w:right w:val="single" w:color="CCCCCC" w:sz="8"/>
            </w:tcBorders>
            <w:shd w:fill="F2F2F2"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Mature national architecture with legal mandate, X-Road data layer, and broad provider participation; highest multi-domain alignment.</w:t>
            </w:r>
          </w:p>
        </w:tc>
      </w:tr>
      <w:tr>
        <w:tc>
          <w:tcPr>
            <w:tcW w:type="dxa" w:w="180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VA/DoD EHR [5,6]</w:t>
            </w:r>
          </w:p>
        </w:tc>
        <w:tc>
          <w:tcPr>
            <w:tcW w:type="dxa" w:w="900"/>
            <w:tcBorders>
              <w:top w:val="single" w:color="CCCCCC" w:sz="8"/>
              <w:left w:val="single" w:color="CCCCCC" w:sz="8"/>
              <w:bottom w:val="single" w:color="CCCCCC" w:sz="8"/>
              <w:right w:val="single" w:color="CCCCCC" w:sz="8"/>
            </w:tcBorders>
            <w:shd w:fill="FFC7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Low–Med</w:t>
            </w:r>
          </w:p>
        </w:tc>
        <w:tc>
          <w:tcPr>
            <w:tcW w:type="dxa" w:w="900"/>
            <w:tcBorders>
              <w:top w:val="single" w:color="CCCCCC" w:sz="8"/>
              <w:left w:val="single" w:color="CCCCCC" w:sz="8"/>
              <w:bottom w:val="single" w:color="CCCCCC" w:sz="8"/>
              <w:right w:val="single" w:color="CCCCCC" w:sz="8"/>
            </w:tcBorders>
            <w:shd w:fill="FFC7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Low–Med</w:t>
            </w:r>
          </w:p>
        </w:tc>
        <w:tc>
          <w:tcPr>
            <w:tcW w:type="dxa" w:w="900"/>
            <w:tcBorders>
              <w:top w:val="single" w:color="CCCCCC" w:sz="8"/>
              <w:left w:val="single" w:color="CCCCCC" w:sz="8"/>
              <w:bottom w:val="single" w:color="CCCCCC" w:sz="8"/>
              <w:right w:val="single" w:color="CCCCCC" w:sz="8"/>
            </w:tcBorders>
            <w:shd w:fill="C6EF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High</w:t>
            </w:r>
          </w:p>
        </w:tc>
        <w:tc>
          <w:tcPr>
            <w:tcW w:type="dxa" w:w="1100"/>
            <w:tcBorders>
              <w:top w:val="single" w:color="CCCCCC" w:sz="8"/>
              <w:left w:val="single" w:color="CCCCCC" w:sz="8"/>
              <w:bottom w:val="single" w:color="CCCCCC" w:sz="8"/>
              <w:right w:val="single" w:color="CCCCCC" w:sz="8"/>
            </w:tcBorders>
            <w:shd w:fill="FFC7CE" w:val="clear"/>
            <w:tcMar>
              <w:top w:type="dxa" w:w="80"/>
              <w:left w:type="dxa" w:w="140"/>
              <w:bottom w:type="dxa" w:w="80"/>
              <w:right w:type="dxa" w:w="140"/>
            </w:tcMar>
            <w:vAlign w:val="center"/>
          </w:tcPr>
          <w:p>
            <w:pPr>
              <w:spacing w:after="0"/>
              <w:jc w:val="center"/>
            </w:pPr>
            <w:r>
              <w:rPr>
                <w:rFonts w:ascii="Times New Roman" w:cs="Times New Roman" w:eastAsia="Times New Roman" w:hAnsi="Times New Roman"/>
                <w:b/>
                <w:bCs/>
                <w:sz w:val="20"/>
                <w:szCs w:val="20"/>
              </w:rPr>
              <w:t xml:space="preserve">Low–Med</w:t>
            </w:r>
          </w:p>
        </w:tc>
        <w:tc>
          <w:tcPr>
            <w:tcW w:type="dxa" w:w="3760"/>
            <w:tcBorders>
              <w:top w:val="single" w:color="CCCCCC" w:sz="8"/>
              <w:left w:val="single" w:color="CCCCCC" w:sz="8"/>
              <w:bottom w:val="single" w:color="CCCCCC" w:sz="8"/>
              <w:right w:val="single" w:color="CCCCCC" w:sz="8"/>
            </w:tcBorders>
            <w:shd w:fill="FFFFFF" w:val="clear"/>
            <w:tcMar>
              <w:top w:type="dxa" w:w="80"/>
              <w:left w:type="dxa" w:w="140"/>
              <w:bottom w:type="dxa" w:w="80"/>
              <w:right w:type="dxa" w:w="140"/>
            </w:tcMar>
            <w:vAlign w:val="center"/>
          </w:tcPr>
          <w:p>
            <w:pPr>
              <w:spacing w:after="0"/>
              <w:jc w:val="left"/>
            </w:pPr>
            <w:r>
              <w:rPr>
                <w:rFonts w:ascii="Times New Roman" w:cs="Times New Roman" w:eastAsia="Times New Roman" w:hAnsi="Times New Roman"/>
                <w:sz w:val="20"/>
                <w:szCs w:val="20"/>
              </w:rPr>
              <w:t xml:space="preserve">Strong institutional mandate; persistent usability deficits, configuration debt, and execution gaps constrain realised adoption value across user, technical, and organisational domains.</w:t>
            </w:r>
          </w:p>
        </w:tc>
      </w:tr>
    </w:tbl>
    <w:p>
      <w:pPr>
        <w:spacing w:after="240" w:before="80"/>
      </w:pPr>
      <w:r>
        <w:rPr>
          <w:rFonts w:ascii="Times New Roman" w:cs="Times New Roman" w:eastAsia="Times New Roman" w:hAnsi="Times New Roman"/>
          <w:sz w:val="20"/>
          <w:szCs w:val="20"/>
        </w:rPr>
        <w:t xml:space="preserve">Note. Domain ratings reflect the preponderance of evidence in primary source documentation. U = User Readiness; T = Technical Interoperability; I = Institutional Alignment; O = Organizational Execution. High = strong domain alignment; Medium = partial alignment; Low–Med = significant gaps identified.</w:t>
      </w:r>
    </w:p>
    <w:p>
      <w:pPr>
        <w:pStyle w:val="Heading2"/>
        <w:spacing w:after="160" w:before="360"/>
      </w:pPr>
      <w:r>
        <w:rPr>
          <w:rFonts w:ascii="Times New Roman" w:cs="Times New Roman" w:eastAsia="Times New Roman" w:hAnsi="Times New Roman"/>
          <w:b/>
          <w:bCs/>
          <w:sz w:val="26"/>
          <w:szCs w:val="26"/>
        </w:rPr>
        <w:t xml:space="preserve">5.4 Synthesis</w:t>
      </w:r>
    </w:p>
    <w:p>
      <w:pPr>
        <w:spacing w:after="200" w:line="480"/>
      </w:pPr>
      <w:r>
        <w:rPr>
          <w:rFonts w:ascii="Times New Roman" w:cs="Times New Roman" w:eastAsia="Times New Roman" w:hAnsi="Times New Roman"/>
          <w:sz w:val="24"/>
          <w:szCs w:val="24"/>
        </w:rPr>
        <w:t xml:space="preserve">The systematic review and multi-case findings converge on a consistent pattern. Across the literature, the four U-T-I-O domains consistently appear as co-determinants of adoption outcomes. No reviewed source identified a single-domain explanation as sufficient. Cases in which one or more domains were weak—regardless of the strength of others—exhibited measurably lower adoption value, higher user resistance, or implementation delays.</w:t>
      </w:r>
    </w:p>
    <w:p>
      <w:pPr>
        <w:spacing w:after="200" w:line="480"/>
      </w:pPr>
      <w:r>
        <w:rPr>
          <w:rFonts w:ascii="Times New Roman" w:cs="Times New Roman" w:eastAsia="Times New Roman" w:hAnsi="Times New Roman"/>
          <w:sz w:val="24"/>
          <w:szCs w:val="24"/>
        </w:rPr>
        <w:t xml:space="preserve">The case comparison reinforces this finding empirically. Technical interoperability is necessary but demonstrably insufficient: both ONC HIE programs and the VA/DoD initiative deployed substantial technical infrastructure, yet neither achieved the breadth of adoption or user engagement observed in Estonia’s nationally aligned system. The decisive differentiator across cases is multi-domain convergence. Estonia’s high ratings across all four domains correspond to the highest assessed adoption maturity. The VA/DoD case, despite strong institutional mandate (I) and substantial technical investment, exhibits the lowest overall adoption value, with persistent gaps in user readiness (U), realised technical interoperability (T), and organizational execution (O)—an outcome directly consistent with the U-T-I-O Model’s prediction that domain-level misalignment constrains adoption regardless of isolated domain strengths.</w:t>
      </w:r>
    </w:p>
    <w:p>
      <w:pPr>
        <w:spacing w:after="200" w:line="480"/>
      </w:pPr>
      <w:r>
        <w:rPr>
          <w:rFonts w:ascii="Times New Roman" w:cs="Times New Roman" w:eastAsia="Times New Roman" w:hAnsi="Times New Roman"/>
          <w:sz w:val="24"/>
          <w:szCs w:val="24"/>
        </w:rPr>
        <w:t xml:space="preserve">These findings validate the U-T-I-O Model as both a descriptive and diagnostic tool: it accurately characterizes observed adoption patterns and provides an explanatory account of why well-funded, mandate-backed implementations can still fall short of their intended outcomes.</w:t>
      </w:r>
    </w:p>
    <w:p>
      <w:pPr>
        <w:pStyle w:val="Heading1"/>
        <w:spacing w:after="200" w:before="480"/>
      </w:pPr>
      <w:r>
        <w:rPr>
          <w:rFonts w:ascii="Times New Roman" w:cs="Times New Roman" w:eastAsia="Times New Roman" w:hAnsi="Times New Roman"/>
          <w:b/>
          <w:bCs/>
          <w:sz w:val="28"/>
          <w:szCs w:val="28"/>
        </w:rPr>
        <w:t xml:space="preserve">6. Discussion</w:t>
      </w:r>
    </w:p>
    <w:p>
      <w:pPr>
        <w:pStyle w:val="Heading2"/>
        <w:spacing w:after="160" w:before="360"/>
      </w:pPr>
      <w:r>
        <w:rPr>
          <w:rFonts w:ascii="Times New Roman" w:cs="Times New Roman" w:eastAsia="Times New Roman" w:hAnsi="Times New Roman"/>
          <w:b/>
          <w:bCs/>
          <w:sz w:val="26"/>
          <w:szCs w:val="26"/>
        </w:rPr>
        <w:t xml:space="preserve">6.1 Synthesis of Findings</w:t>
      </w:r>
    </w:p>
    <w:p>
      <w:pPr>
        <w:spacing w:after="200" w:line="480"/>
      </w:pPr>
      <w:r>
        <w:rPr>
          <w:rFonts w:ascii="Times New Roman" w:cs="Times New Roman" w:eastAsia="Times New Roman" w:hAnsi="Times New Roman"/>
          <w:sz w:val="24"/>
          <w:szCs w:val="24"/>
        </w:rPr>
        <w:t xml:space="preserve">The results demonstrate that eHealth systems adoption is not determined by isolated technical capabilities, but by the alignment of user readiness, technical interoperability, institutional frameworks, and organizational execution [9,15,12]. Across the systematic review and case analyses, these domains consistently interact to shape adoption outcomes.</w:t>
      </w:r>
    </w:p>
    <w:p>
      <w:pPr>
        <w:pStyle w:val="Heading2"/>
        <w:spacing w:after="160" w:before="360"/>
      </w:pPr>
      <w:r>
        <w:rPr>
          <w:rFonts w:ascii="Times New Roman" w:cs="Times New Roman" w:eastAsia="Times New Roman" w:hAnsi="Times New Roman"/>
          <w:b/>
          <w:bCs/>
          <w:sz w:val="26"/>
          <w:szCs w:val="26"/>
        </w:rPr>
        <w:t xml:space="preserve">6.2 Cross-Case Comparative Insights</w:t>
      </w:r>
    </w:p>
    <w:p>
      <w:pPr>
        <w:spacing w:after="200" w:line="480"/>
      </w:pPr>
      <w:r>
        <w:rPr>
          <w:rFonts w:ascii="Times New Roman" w:cs="Times New Roman" w:eastAsia="Times New Roman" w:hAnsi="Times New Roman"/>
          <w:sz w:val="24"/>
          <w:szCs w:val="24"/>
        </w:rPr>
        <w:t xml:space="preserve">The comparative analysis highlights important differences in how adoption determinants manifest across implementation contexts. Estonia represents a highly aligned system, where institutional mandate, technical infrastructure, and organizational execution converge [3,22]. In contrast, the VA/DoD case illustrates how misalignment—particularly in user satisfaction and implementation governance—can undermine adoption despite strong institutional backing [5,6].</w:t>
      </w:r>
    </w:p>
    <w:p>
      <w:pPr>
        <w:spacing w:after="200" w:line="480"/>
      </w:pPr>
      <w:r>
        <w:rPr>
          <w:rFonts w:ascii="Times New Roman" w:cs="Times New Roman" w:eastAsia="Times New Roman" w:hAnsi="Times New Roman"/>
          <w:sz w:val="24"/>
          <w:szCs w:val="24"/>
        </w:rPr>
        <w:t xml:space="preserve">These findings suggest that institutional mandate alone is insufficient. Effective adoption requires coordinated execution across all domains, particularly at the organizational and user levels.</w:t>
      </w:r>
    </w:p>
    <w:p>
      <w:pPr>
        <w:pStyle w:val="Heading2"/>
        <w:spacing w:after="160" w:before="360"/>
      </w:pPr>
      <w:r>
        <w:rPr>
          <w:rFonts w:ascii="Times New Roman" w:cs="Times New Roman" w:eastAsia="Times New Roman" w:hAnsi="Times New Roman"/>
          <w:b/>
          <w:bCs/>
          <w:sz w:val="26"/>
          <w:szCs w:val="26"/>
        </w:rPr>
        <w:t xml:space="preserve">6.3 Implications for Interoperability Strategy</w:t>
      </w:r>
    </w:p>
    <w:p>
      <w:pPr>
        <w:spacing w:after="200" w:line="480"/>
      </w:pPr>
      <w:r>
        <w:rPr>
          <w:rFonts w:ascii="Times New Roman" w:cs="Times New Roman" w:eastAsia="Times New Roman" w:hAnsi="Times New Roman"/>
          <w:sz w:val="24"/>
          <w:szCs w:val="24"/>
        </w:rPr>
        <w:t xml:space="preserve">The findings reinforce that interoperability is not solely a technical problem [21,14]. While standards and interfaces are necessary, they must be supported by governance frameworks, workflow integration, and organizational alignment [15,10].</w:t>
      </w:r>
    </w:p>
    <w:p>
      <w:pPr>
        <w:spacing w:after="200" w:line="480"/>
      </w:pPr>
      <w:r>
        <w:rPr>
          <w:rFonts w:ascii="Times New Roman" w:cs="Times New Roman" w:eastAsia="Times New Roman" w:hAnsi="Times New Roman"/>
          <w:sz w:val="24"/>
          <w:szCs w:val="24"/>
        </w:rPr>
        <w:t xml:space="preserve">Policies such as the HITECH Act and the 21st Century Cures Act attempt to address these challenges by realigning incentives and reducing information blocking [2]. However, implementation effectiveness depends on how these policies translate into organizational and technical practice [14,5].</w:t>
      </w:r>
    </w:p>
    <w:p>
      <w:pPr>
        <w:pStyle w:val="Heading2"/>
        <w:spacing w:after="160" w:before="360"/>
      </w:pPr>
      <w:r>
        <w:rPr>
          <w:rFonts w:ascii="Times New Roman" w:cs="Times New Roman" w:eastAsia="Times New Roman" w:hAnsi="Times New Roman"/>
          <w:b/>
          <w:bCs/>
          <w:sz w:val="26"/>
          <w:szCs w:val="26"/>
        </w:rPr>
        <w:t xml:space="preserve">6.4 Worked Example: Applying U-T-I-O to the VA/DoD EHR Modernization</w:t>
      </w:r>
    </w:p>
    <w:p>
      <w:pPr>
        <w:spacing w:after="200" w:line="480"/>
      </w:pPr>
      <w:r>
        <w:rPr>
          <w:rFonts w:ascii="Times New Roman" w:cs="Times New Roman" w:eastAsia="Times New Roman" w:hAnsi="Times New Roman"/>
          <w:sz w:val="24"/>
          <w:szCs w:val="24"/>
        </w:rPr>
        <w:t xml:space="preserve">To illustrate the framework’s diagnostic utility, the U-T-I-O Model can be applied retrospectively to the U.S. Department of Veterans Affairs and Department of Defense joint EHR modernization—a $10+ billion contract awarded to Cerner (now Oracle Health) in 2018 [5,6]. A pre-deployment audit using publicly available 2018-era documentation would have produced the following profile: </w:t>
      </w:r>
      <w:r>
        <w:rPr>
          <w:rFonts w:ascii="Times New Roman" w:cs="Times New Roman" w:eastAsia="Times New Roman" w:hAnsi="Times New Roman"/>
          <w:b/>
          <w:bCs/>
          <w:sz w:val="24"/>
          <w:szCs w:val="24"/>
        </w:rPr>
        <w:t xml:space="preserve">Institutional Alignment (I) — High</w:t>
      </w:r>
      <w:r>
        <w:rPr>
          <w:rFonts w:ascii="Times New Roman" w:cs="Times New Roman" w:eastAsia="Times New Roman" w:hAnsi="Times New Roman"/>
          <w:sz w:val="24"/>
          <w:szCs w:val="24"/>
        </w:rPr>
        <w:t xml:space="preserve"> (Congressional mandate, sustained appropriations, clear regulatory authority); </w:t>
      </w:r>
      <w:r>
        <w:rPr>
          <w:rFonts w:ascii="Times New Roman" w:cs="Times New Roman" w:eastAsia="Times New Roman" w:hAnsi="Times New Roman"/>
          <w:b/>
          <w:bCs/>
          <w:sz w:val="24"/>
          <w:szCs w:val="24"/>
        </w:rPr>
        <w:t xml:space="preserve">Technical Interoperability (T) — Medium</w:t>
      </w:r>
      <w:r>
        <w:rPr>
          <w:rFonts w:ascii="Times New Roman" w:cs="Times New Roman" w:eastAsia="Times New Roman" w:hAnsi="Times New Roman"/>
          <w:sz w:val="24"/>
          <w:szCs w:val="24"/>
        </w:rPr>
        <w:t xml:space="preserve"> (mature commercial EHR but substantial configuration required for legacy clinical-system integration); </w:t>
      </w:r>
      <w:r>
        <w:rPr>
          <w:rFonts w:ascii="Times New Roman" w:cs="Times New Roman" w:eastAsia="Times New Roman" w:hAnsi="Times New Roman"/>
          <w:b/>
          <w:bCs/>
          <w:sz w:val="24"/>
          <w:szCs w:val="24"/>
        </w:rPr>
        <w:t xml:space="preserve">User Readiness (U) — Low–Medium</w:t>
      </w:r>
      <w:r>
        <w:rPr>
          <w:rFonts w:ascii="Times New Roman" w:cs="Times New Roman" w:eastAsia="Times New Roman" w:hAnsi="Times New Roman"/>
          <w:sz w:val="24"/>
          <w:szCs w:val="24"/>
        </w:rPr>
        <w:t xml:space="preserve"> (pre-deployment surveys indicated workflow concerns and training gaps not fully resolved before go-live [5]); </w:t>
      </w:r>
      <w:r>
        <w:rPr>
          <w:rFonts w:ascii="Times New Roman" w:cs="Times New Roman" w:eastAsia="Times New Roman" w:hAnsi="Times New Roman"/>
          <w:b/>
          <w:bCs/>
          <w:sz w:val="24"/>
          <w:szCs w:val="24"/>
        </w:rPr>
        <w:t xml:space="preserve">Organizational Execution (O) — Low</w:t>
      </w:r>
      <w:r>
        <w:rPr>
          <w:rFonts w:ascii="Times New Roman" w:cs="Times New Roman" w:eastAsia="Times New Roman" w:hAnsi="Times New Roman"/>
          <w:sz w:val="24"/>
          <w:szCs w:val="24"/>
        </w:rPr>
        <w:t xml:space="preserve"> (early-phase GAO audits flagged inadequate vendor governance, schedule management, and change-management capacity [6]). The profile I(H), T(M), U(L–M), O(L) would have predicted the documented post-deployment outcomes: persistent usability deficits, deployment delays, and clinician dissatisfaction despite congressional mandate and sustained investment. The model’s value is that this failure mode is identifiable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deployment, when remediation costs are an order of magnitude lower than post-deployment correction.</w:t>
      </w:r>
    </w:p>
    <w:p>
      <w:pPr>
        <w:spacing w:after="200" w:line="480"/>
      </w:pPr>
      <w:r>
        <w:rPr>
          <w:rFonts w:ascii="Times New Roman" w:cs="Times New Roman" w:eastAsia="Times New Roman" w:hAnsi="Times New Roman"/>
          <w:sz w:val="24"/>
          <w:szCs w:val="24"/>
        </w:rPr>
        <w:t xml:space="preserve">A methodological note is warranted regarding the evidentiary basis for these domain ratings. The GAO audit reports are predominantly programmatic and fiscal instruments. For a program of this scale, the non-existence of publicly reported, longitudinally tracked clinical outcome metrics constitutes direct evidence of weakness in the O (Organizational Execution) domain—specifically, inadequate performance measurement infrastructure—and in the I (Institutional Alignment) domain—specifically, insufficient governance accountability for outcomes extending beyond deployment milestones. This reframing—treating the non-measurement of outcomes as itself a measurable governance failure—is also, as discussed in the Conclusion, the empirical motivation for extending the model toward explicit outcome metrics.</w:t>
      </w:r>
    </w:p>
    <w:p>
      <w:pPr>
        <w:pStyle w:val="Heading2"/>
        <w:spacing w:after="160" w:before="360"/>
      </w:pPr>
      <w:r>
        <w:rPr>
          <w:rFonts w:ascii="Times New Roman" w:cs="Times New Roman" w:eastAsia="Times New Roman" w:hAnsi="Times New Roman"/>
          <w:b/>
          <w:bCs/>
          <w:sz w:val="26"/>
          <w:szCs w:val="26"/>
        </w:rPr>
        <w:t xml:space="preserve">6.5 Theoretical Perspective: Market Dynamics and Ethical Alignment</w:t>
      </w:r>
    </w:p>
    <w:p>
      <w:pPr>
        <w:spacing w:after="200" w:line="480"/>
      </w:pPr>
      <w:r>
        <w:rPr>
          <w:rFonts w:ascii="Times New Roman" w:cs="Times New Roman" w:eastAsia="Times New Roman" w:hAnsi="Times New Roman"/>
          <w:sz w:val="24"/>
          <w:szCs w:val="24"/>
        </w:rPr>
        <w:t xml:space="preserve">Healthcare IT markets exhibit vendor competition and proprietary architectures that incentivize innovation but produce structural fragmentation—individual firms optimizing for competitive advantage generate outcomes suboptimal at the system level, where information continuity is essential for safe care. Interoperability is therefore also an ethical imperative: it supports continuity of care, reduces medical error, and promotes equitable access. Sustainable adoption requires harmonization across technological capability, market incentives, regulatory frameworks, and ethical principles—an alignment the U-T-I-O Model is designed to facilitate.</w:t>
      </w:r>
    </w:p>
    <w:p>
      <w:pPr>
        <w:pStyle w:val="Heading2"/>
        <w:spacing w:after="160" w:before="360"/>
      </w:pPr>
      <w:r>
        <w:rPr>
          <w:rFonts w:ascii="Times New Roman" w:cs="Times New Roman" w:eastAsia="Times New Roman" w:hAnsi="Times New Roman"/>
          <w:b/>
          <w:bCs/>
          <w:sz w:val="26"/>
          <w:szCs w:val="26"/>
        </w:rPr>
        <w:t xml:space="preserve">6.6 Research Questions Revisited</w:t>
      </w:r>
    </w:p>
    <w:p>
      <w:pPr>
        <w:spacing w:after="200" w:line="480"/>
      </w:pPr>
      <w:r>
        <w:rPr>
          <w:rFonts w:ascii="Times New Roman" w:cs="Times New Roman" w:eastAsia="Times New Roman" w:hAnsi="Times New Roman"/>
          <w:sz w:val="24"/>
          <w:szCs w:val="24"/>
        </w:rPr>
        <w:t xml:space="preserve">RQ1 (What determinants most consistently influence eHealth systems adoption?) is answered by the four-domain synthesis of the U-T-I-O framework: user readiness, technical interoperability, institutional alignment, and organizational execution collectively and consistently predict adoption outcomes. RQ2 (How are these determinants reflected in real-world implementations?) is addressed through the comparative case analysis, demonstrating that the relative strength of each domain is traceable to specific design and governance decisions in each implementation context. RQ3 (How can these determinants be synthesized into a reusable adoption model?) is answered by the U-T-I-O Model itself, which provides a framework that is grounded in empirical evidence, theoretically integrated with established IS literature, and operationalizable across diverse healthcare contexts.</w:t>
      </w:r>
    </w:p>
    <w:p>
      <w:pPr>
        <w:pStyle w:val="Heading2"/>
        <w:spacing w:after="160" w:before="360"/>
      </w:pPr>
      <w:r>
        <w:rPr>
          <w:rFonts w:ascii="Times New Roman" w:cs="Times New Roman" w:eastAsia="Times New Roman" w:hAnsi="Times New Roman"/>
          <w:b/>
          <w:bCs/>
          <w:sz w:val="26"/>
          <w:szCs w:val="26"/>
        </w:rPr>
        <w:t xml:space="preserve">6.7 Practical Implications</w:t>
      </w:r>
    </w:p>
    <w:p>
      <w:pPr>
        <w:spacing w:after="200" w:line="480"/>
      </w:pPr>
      <w:r>
        <w:rPr>
          <w:rFonts w:ascii="Times New Roman" w:cs="Times New Roman" w:eastAsia="Times New Roman" w:hAnsi="Times New Roman"/>
          <w:sz w:val="24"/>
          <w:szCs w:val="24"/>
        </w:rPr>
        <w:t xml:space="preserve">For healthcare leaders and system architects, the results suggest that adoption strategies should prioritize:</w:t>
      </w:r>
    </w:p>
    <w:p>
      <w:pPr>
        <w:pStyle w:val="ListParagraph"/>
        <w:numPr>
          <w:ilvl w:val="0"/>
          <w:numId w:val="2"/>
        </w:numPr>
        <w:spacing w:after="120" w:line="480"/>
      </w:pPr>
      <w:r>
        <w:rPr>
          <w:rFonts w:ascii="Times New Roman" w:cs="Times New Roman" w:eastAsia="Times New Roman" w:hAnsi="Times New Roman"/>
          <w:sz w:val="24"/>
          <w:szCs w:val="24"/>
        </w:rPr>
        <w:t xml:space="preserve">Alignment between technical architecture and clinical workflows, ensuring that interoperability investments translate directly into usability improvements at the point of care</w:t>
      </w:r>
    </w:p>
    <w:p>
      <w:pPr>
        <w:pStyle w:val="ListParagraph"/>
        <w:numPr>
          <w:ilvl w:val="0"/>
          <w:numId w:val="2"/>
        </w:numPr>
        <w:spacing w:after="120" w:line="480"/>
      </w:pPr>
      <w:r>
        <w:rPr>
          <w:rFonts w:ascii="Times New Roman" w:cs="Times New Roman" w:eastAsia="Times New Roman" w:hAnsi="Times New Roman"/>
          <w:sz w:val="24"/>
          <w:szCs w:val="24"/>
        </w:rPr>
        <w:t xml:space="preserve">Strong governance and leadership engagement throughout implementation, not only at launch but continuously across the adoption lifecycle</w:t>
      </w:r>
    </w:p>
    <w:p>
      <w:pPr>
        <w:pStyle w:val="ListParagraph"/>
        <w:numPr>
          <w:ilvl w:val="0"/>
          <w:numId w:val="2"/>
        </w:numPr>
        <w:spacing w:after="120" w:line="480"/>
      </w:pPr>
      <w:r>
        <w:rPr>
          <w:rFonts w:ascii="Times New Roman" w:cs="Times New Roman" w:eastAsia="Times New Roman" w:hAnsi="Times New Roman"/>
          <w:sz w:val="24"/>
          <w:szCs w:val="24"/>
        </w:rPr>
        <w:t xml:space="preserve">Investment in user training, satisfaction monitoring, and feedback mechanisms, treating user readiness as an ongoing operational concern rather than a one-time onboarding activity</w:t>
      </w:r>
    </w:p>
    <w:p>
      <w:pPr>
        <w:pStyle w:val="ListParagraph"/>
        <w:numPr>
          <w:ilvl w:val="0"/>
          <w:numId w:val="2"/>
        </w:numPr>
        <w:spacing w:after="120" w:line="480"/>
      </w:pPr>
      <w:r>
        <w:rPr>
          <w:rFonts w:ascii="Times New Roman" w:cs="Times New Roman" w:eastAsia="Times New Roman" w:hAnsi="Times New Roman"/>
          <w:sz w:val="24"/>
          <w:szCs w:val="24"/>
        </w:rPr>
        <w:t xml:space="preserve">Compliance with interoperability standards and regulatory frameworks as a baseline, while actively leveraging policy incentives (HITECH, Cures Act, information blocking rules) to align vendor and organizational behavior toward system-wide interoperability goals</w:t>
      </w:r>
    </w:p>
    <w:p>
      <w:pPr>
        <w:spacing w:after="100"/>
      </w:pPr>
      <w:r>
        <w:t xml:space="preserve"/>
      </w:r>
    </w:p>
    <w:p>
      <w:pPr>
        <w:spacing w:after="200" w:line="480"/>
      </w:pPr>
      <w:r>
        <w:rPr>
          <w:rFonts w:ascii="Times New Roman" w:cs="Times New Roman" w:eastAsia="Times New Roman" w:hAnsi="Times New Roman"/>
          <w:sz w:val="24"/>
          <w:szCs w:val="24"/>
        </w:rPr>
        <w:t xml:space="preserve">Organizations that address only technical interoperability without equivalent investment in organizational and user readiness domains are unlikely to achieve sustained adoption, regardless of the strength of their institutional mandate or the quality of their technical infrastructure.</w:t>
      </w:r>
    </w:p>
    <w:p>
      <w:pPr>
        <w:pStyle w:val="Heading1"/>
        <w:spacing w:after="200" w:before="480"/>
      </w:pPr>
      <w:r>
        <w:rPr>
          <w:rFonts w:ascii="Times New Roman" w:cs="Times New Roman" w:eastAsia="Times New Roman" w:hAnsi="Times New Roman"/>
          <w:b/>
          <w:bCs/>
          <w:sz w:val="28"/>
          <w:szCs w:val="28"/>
        </w:rPr>
        <w:t xml:space="preserve">7. Ethical and Compliance Considerations</w:t>
      </w:r>
    </w:p>
    <w:p>
      <w:pPr>
        <w:spacing w:after="200" w:line="480"/>
      </w:pPr>
      <w:r>
        <w:rPr>
          <w:rFonts w:ascii="Times New Roman" w:cs="Times New Roman" w:eastAsia="Times New Roman" w:hAnsi="Times New Roman"/>
          <w:sz w:val="24"/>
          <w:szCs w:val="24"/>
        </w:rPr>
        <w:t xml:space="preserve">This study used only publicly available and de-identified data sources. No human subjects were involved, and therefore institutional review board (IRB) approval was not required.</w:t>
      </w:r>
    </w:p>
    <w:p>
      <w:pPr>
        <w:spacing w:after="200" w:line="480"/>
      </w:pPr>
      <w:r>
        <w:rPr>
          <w:rFonts w:ascii="Times New Roman" w:cs="Times New Roman" w:eastAsia="Times New Roman" w:hAnsi="Times New Roman"/>
          <w:sz w:val="24"/>
          <w:szCs w:val="24"/>
        </w:rPr>
        <w:t xml:space="preserve">Data usage aligns with HIPAA de-identification standards (45 CFR §164.514) [23,24], HITECH interoperability objectives, and NIST Risk Management Framework principles (SP 800-37, SP 800-53) [25,26]. No protected health information (PHI) was accessed, stored, or analyzed during this study.</w:t>
      </w:r>
    </w:p>
    <w:p>
      <w:pPr>
        <w:pStyle w:val="Heading2"/>
        <w:spacing w:after="160" w:before="360"/>
      </w:pPr>
      <w:r>
        <w:rPr>
          <w:rFonts w:ascii="Times New Roman" w:cs="Times New Roman" w:eastAsia="Times New Roman" w:hAnsi="Times New Roman"/>
          <w:b/>
          <w:bCs/>
          <w:sz w:val="26"/>
          <w:szCs w:val="26"/>
        </w:rPr>
        <w:t xml:space="preserve">Declarations</w:t>
      </w:r>
    </w:p>
    <w:p>
      <w:pPr>
        <w:spacing w:after="200" w:line="48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external financial support. No funders or sponsors were involved in the study design, data collection, analysis, interpretation, or manuscript preparation.</w:t>
      </w:r>
    </w:p>
    <w:p>
      <w:pPr>
        <w:spacing w:after="200" w:line="480"/>
      </w:pPr>
      <w:r>
        <w:rPr>
          <w:rFonts w:ascii="Times New Roman" w:cs="Times New Roman" w:eastAsia="Times New Roman" w:hAnsi="Times New Roman"/>
          <w:b/>
          <w:bCs/>
          <w:sz w:val="24"/>
          <w:szCs w:val="24"/>
        </w:rPr>
        <w:t xml:space="preserve">Competing interests. </w:t>
      </w:r>
      <w:r>
        <w:rPr>
          <w:rFonts w:ascii="Times New Roman" w:cs="Times New Roman" w:eastAsia="Times New Roman" w:hAnsi="Times New Roman"/>
          <w:sz w:val="24"/>
          <w:szCs w:val="24"/>
        </w:rPr>
        <w:t xml:space="preserve">The author declares no competing financial or non-financial interests.</w:t>
      </w:r>
    </w:p>
    <w:p>
      <w:pPr>
        <w:spacing w:after="200" w:line="480"/>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All primary sources reviewed in this study are publicly available (peer-reviewed publications, government reports, institutional documentation). Search strings, screening logs, the evidence extraction matrix, and the PRISMA 2020 checklist are maintained in the project repository.</w:t>
      </w:r>
    </w:p>
    <w:p>
      <w:pPr>
        <w:spacing w:after="200" w:line="480"/>
      </w:pPr>
      <w:r>
        <w:rPr>
          <w:rFonts w:ascii="Times New Roman" w:cs="Times New Roman" w:eastAsia="Times New Roman" w:hAnsi="Times New Roman"/>
          <w:b/>
          <w:bCs/>
          <w:sz w:val="24"/>
          <w:szCs w:val="24"/>
        </w:rPr>
        <w:t xml:space="preserve">Author contributions (CRediT). </w:t>
      </w:r>
      <w:r>
        <w:rPr>
          <w:rFonts w:ascii="Times New Roman" w:cs="Times New Roman" w:eastAsia="Times New Roman" w:hAnsi="Times New Roman"/>
          <w:sz w:val="24"/>
          <w:szCs w:val="24"/>
        </w:rPr>
        <w:t xml:space="preserve">[Author]: Conceptualization, Methodology, Formal Analysis, Investigation, Data Curation, Writing – original draft, Writing – review &amp; editing, Visualization.</w:t>
      </w:r>
    </w:p>
    <w:p>
      <w:pPr>
        <w:pStyle w:val="Heading1"/>
        <w:spacing w:after="200" w:before="480"/>
      </w:pPr>
      <w:r>
        <w:rPr>
          <w:rFonts w:ascii="Times New Roman" w:cs="Times New Roman" w:eastAsia="Times New Roman" w:hAnsi="Times New Roman"/>
          <w:b/>
          <w:bCs/>
          <w:sz w:val="28"/>
          <w:szCs w:val="28"/>
        </w:rPr>
        <w:t xml:space="preserve">8. Limitations</w:t>
      </w:r>
    </w:p>
    <w:p>
      <w:pPr>
        <w:spacing w:after="200" w:line="480"/>
      </w:pPr>
      <w:r>
        <w:rPr>
          <w:rFonts w:ascii="Times New Roman" w:cs="Times New Roman" w:eastAsia="Times New Roman" w:hAnsi="Times New Roman"/>
          <w:sz w:val="24"/>
          <w:szCs w:val="24"/>
        </w:rPr>
        <w:t xml:space="preserve">This study is subject to several limitations that should be considered when interpreting its findings.</w:t>
      </w:r>
    </w:p>
    <w:p>
      <w:pPr>
        <w:spacing w:after="200" w:line="480"/>
      </w:pPr>
      <w:r>
        <w:rPr>
          <w:rFonts w:ascii="Times New Roman" w:cs="Times New Roman" w:eastAsia="Times New Roman" w:hAnsi="Times New Roman"/>
          <w:sz w:val="24"/>
          <w:szCs w:val="24"/>
        </w:rPr>
        <w:t xml:space="preserve">First, the systematic review relies exclusively on secondary data sources—published literature and publicly available documentation—which may introduce reporting bias. Studies reporting successful implementations may be more likely to be published, potentially overstating facilitating factors relative to barriers.</w:t>
      </w:r>
    </w:p>
    <w:p>
      <w:pPr>
        <w:spacing w:after="200" w:line="480"/>
      </w:pPr>
      <w:r>
        <w:rPr>
          <w:rFonts w:ascii="Times New Roman" w:cs="Times New Roman" w:eastAsia="Times New Roman" w:hAnsi="Times New Roman"/>
          <w:sz w:val="24"/>
          <w:szCs w:val="24"/>
        </w:rPr>
        <w:t xml:space="preserve">Second, the multi-case analysis is limited to four publicly documented national implementations. While these cases were selected to maximize contextual variation, they represent politically prominent programs with extensive public reporting. Less visible implementations—particularly those that experienced failure or were quietly discontinued—are underrepresented, which may introduce survivor bias.</w:t>
      </w:r>
    </w:p>
    <w:p>
      <w:pPr>
        <w:spacing w:after="200" w:line="480"/>
      </w:pPr>
      <w:r>
        <w:rPr>
          <w:rFonts w:ascii="Times New Roman" w:cs="Times New Roman" w:eastAsia="Times New Roman" w:hAnsi="Times New Roman"/>
          <w:sz w:val="24"/>
          <w:szCs w:val="24"/>
        </w:rPr>
        <w:t xml:space="preserve">Third, the systematic review was restricted to English-language publications. This language bias may limit representativeness with respect to eHealth adoption experiences in non-English-speaking countries, particularly in low- and middle-income settings.</w:t>
      </w:r>
    </w:p>
    <w:p>
      <w:pPr>
        <w:spacing w:after="200" w:line="480"/>
      </w:pPr>
      <w:r>
        <w:rPr>
          <w:rFonts w:ascii="Times New Roman" w:cs="Times New Roman" w:eastAsia="Times New Roman" w:hAnsi="Times New Roman"/>
          <w:sz w:val="24"/>
          <w:szCs w:val="24"/>
        </w:rPr>
        <w:t xml:space="preserve">Fourth, the U-T-I-O coding framework involved interpretive judgments and was applied by a single reviewer. Two internal checks were conducted. (i) On the 17-source domain-presence coding, a 10% seeded self-audit and a supplementary AI-assisted second-rater check each yielded 6/8 (75%) agreement. (ii) On the 16 four-case rubric ratings, an AI second-rater pass (Anthropic Claude Opus 4.7; Supplementary File S4) re-rated all 16 cells without seeing the original ratings. Within-one-band agreement was strong (15/16; 93.8%), exact agreement lower (6/16; 37.5%). The linear-weighted Cohen’s κ was 0.27; at N = 16 this is high-variance and reported for transparency. Independent dual-rating with a credentialed human second rater remains an outstanding limitation.</w:t>
      </w:r>
    </w:p>
    <w:p>
      <w:pPr>
        <w:spacing w:after="200" w:line="480"/>
      </w:pPr>
      <w:r>
        <w:rPr>
          <w:rFonts w:ascii="Times New Roman" w:cs="Times New Roman" w:eastAsia="Times New Roman" w:hAnsi="Times New Roman"/>
          <w:sz w:val="24"/>
          <w:szCs w:val="24"/>
        </w:rPr>
        <w:t xml:space="preserve">Fifth, the breadth of the U-T-I-O Model means that individual domain constructs are operationalized at a relatively high level of abstraction. Future research should develop and validate sub-domain measurement instruments for more precise quantitative assessment.</w:t>
      </w:r>
    </w:p>
    <w:p>
      <w:pPr>
        <w:spacing w:after="200" w:line="480"/>
      </w:pPr>
      <w:r>
        <w:rPr>
          <w:rFonts w:ascii="Times New Roman" w:cs="Times New Roman" w:eastAsia="Times New Roman" w:hAnsi="Times New Roman"/>
          <w:sz w:val="24"/>
          <w:szCs w:val="24"/>
        </w:rPr>
        <w:t xml:space="preserve">Sixth, and most consequentially, the U-T-I-O Model as validated here provides </w:t>
      </w:r>
      <w:r>
        <w:rPr>
          <w:rFonts w:ascii="Times New Roman" w:cs="Times New Roman" w:eastAsia="Times New Roman" w:hAnsi="Times New Roman"/>
          <w:i/>
          <w:iCs/>
          <w:sz w:val="24"/>
          <w:szCs w:val="24"/>
        </w:rPr>
        <w:t xml:space="preserve">implementation readiness validity</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 xml:space="preserve">clinical outcome validity</w:t>
      </w:r>
      <w:r>
        <w:rPr>
          <w:rFonts w:ascii="Times New Roman" w:cs="Times New Roman" w:eastAsia="Times New Roman" w:hAnsi="Times New Roman"/>
          <w:sz w:val="24"/>
          <w:szCs w:val="24"/>
        </w:rPr>
        <w:t xml:space="preserve">. The evidence chain establishes: U-T-I-O domain alignment → implementation maturity; implementation maturity → deployment success metrics; deployment success → improved patient outcomes (assumed, not evidenced). Establishing clinical outcome validity requires a prospective validation layer explicitly mapping U-T-I-O profiles to clinical performance indicators. This limitation defines the primary direction for future research, addressed in the Conclusion.</w:t>
      </w:r>
    </w:p>
    <w:p>
      <w:pPr>
        <w:spacing w:after="200" w:line="480"/>
      </w:pPr>
      <w:r>
        <w:rPr>
          <w:rFonts w:ascii="Times New Roman" w:cs="Times New Roman" w:eastAsia="Times New Roman" w:hAnsi="Times New Roman"/>
          <w:sz w:val="24"/>
          <w:szCs w:val="24"/>
        </w:rPr>
        <w:t xml:space="preserve">Despite these limitations, the study provides a robust multi-source synthesis of adoption determinants across diverse health system contexts and offers a theoretically grounded, practically oriented framework for guiding eHealth adoption strategy.</w:t>
      </w:r>
    </w:p>
    <w:p>
      <w:pPr>
        <w:pStyle w:val="Heading1"/>
        <w:spacing w:after="200" w:before="480"/>
      </w:pPr>
      <w:r>
        <w:rPr>
          <w:rFonts w:ascii="Times New Roman" w:cs="Times New Roman" w:eastAsia="Times New Roman" w:hAnsi="Times New Roman"/>
          <w:b/>
          <w:bCs/>
          <w:sz w:val="28"/>
          <w:szCs w:val="28"/>
        </w:rPr>
        <w:t xml:space="preserve">9. Conclusion</w:t>
      </w:r>
    </w:p>
    <w:p>
      <w:pPr>
        <w:spacing w:after="200" w:line="480"/>
      </w:pPr>
      <w:r>
        <w:rPr>
          <w:rFonts w:ascii="Times New Roman" w:cs="Times New Roman" w:eastAsia="Times New Roman" w:hAnsi="Times New Roman"/>
          <w:sz w:val="24"/>
          <w:szCs w:val="24"/>
        </w:rPr>
        <w:t xml:space="preserve">This study addressed why eHealth adoption succeeds in some contexts and falls short in others despite comparable investment, regulatory pressure, and technological capability. Through a PRISMA-guided systematic review of 17 sources and a comparative analysis of four national implementations, the U-T-I-O Model was developed and validated—an integrative framework identifying User Readiness, Technical Interoperability, Institutional Alignment, and Organizational Execution as the four interdependent determinants of sustainable adoption.</w:t>
      </w:r>
    </w:p>
    <w:p>
      <w:pPr>
        <w:spacing w:after="200" w:line="480"/>
      </w:pPr>
      <w:r>
        <w:rPr>
          <w:rFonts w:ascii="Times New Roman" w:cs="Times New Roman" w:eastAsia="Times New Roman" w:hAnsi="Times New Roman"/>
          <w:sz w:val="24"/>
          <w:szCs w:val="24"/>
        </w:rPr>
        <w:t xml:space="preserve">The findings are unambiguous on one point: no single domain determines adoption outcomes in isolation. Technical interoperability—often treated as the primary challenge in health IT—is necessary but demonstrably insufficient. Estonia’s success reflects near-perfect alignment across all four U-T-I-O domains: a legally mandated, technically mature, institutionally supported, and organizationally executed national system. The VA/DoD experience illustrates the opposite: strong institutional mandate and substantial technical investment have not compensated for realised gaps in user readiness, technical interoperability, and organizational execution.</w:t>
      </w:r>
    </w:p>
    <w:p>
      <w:pPr>
        <w:spacing w:after="200" w:line="480"/>
      </w:pPr>
      <w:r>
        <w:rPr>
          <w:rFonts w:ascii="Times New Roman" w:cs="Times New Roman" w:eastAsia="Times New Roman" w:hAnsi="Times New Roman"/>
          <w:sz w:val="24"/>
          <w:szCs w:val="24"/>
        </w:rPr>
        <w:t xml:space="preserve">For healthcare leaders and system architects, the U-T-I-O Model provides a structured diagnostic tool. Organizations can assess their readiness profile across each domain before implementation begins, identify which domains represent the greatest risk, and allocate resources accordingly. For policymakers, the institutional alignment domain underscores that regulatory incentives and interoperability mandates are necessary but must be translated into organizational and user-level change to realize their potential.</w:t>
      </w:r>
    </w:p>
    <w:p>
      <w:pPr>
        <w:spacing w:after="200" w:line="480"/>
      </w:pPr>
      <w:r>
        <w:rPr>
          <w:rFonts w:ascii="Times New Roman" w:cs="Times New Roman" w:eastAsia="Times New Roman" w:hAnsi="Times New Roman"/>
          <w:sz w:val="24"/>
          <w:szCs w:val="24"/>
        </w:rPr>
        <w:t xml:space="preserve">Beyond individual organizational strategy, the evidence reviewed here carries a normative implication: interoperability in healthcare is not a commercial option—it is a human obligation. Proprietary architectures, vendor lock-in, and data-sharing refusals impose a cost measured not in contract disputes but in delayed diagnoses, duplicated procedures, care fragmentation, and preventable deaths. The VA/DoD case makes this visible at scale. Estonia demonstrates the inverse: when every actor in the ecosystem commits to a common interoperability architecture as a condition of participation, the human benefit is measurable and durable, and the system remains politically and economically sustainable across decades.</w:t>
      </w:r>
    </w:p>
    <w:p>
      <w:pPr>
        <w:spacing w:after="200" w:line="480"/>
      </w:pPr>
      <w:r>
        <w:rPr>
          <w:rFonts w:ascii="Times New Roman" w:cs="Times New Roman" w:eastAsia="Times New Roman" w:hAnsi="Times New Roman"/>
          <w:sz w:val="24"/>
          <w:szCs w:val="24"/>
        </w:rPr>
        <w:t xml:space="preserve">Three research directions extend this work. First, and most urgently, the U-T-I-O Model warrants extension into a formal </w:t>
      </w:r>
      <w:r>
        <w:rPr>
          <w:rFonts w:ascii="Times New Roman" w:cs="Times New Roman" w:eastAsia="Times New Roman" w:hAnsi="Times New Roman"/>
          <w:b/>
          <w:bCs/>
          <w:sz w:val="24"/>
          <w:szCs w:val="24"/>
        </w:rPr>
        <w:t xml:space="preserve">U-T-I-O-OM</w:t>
      </w:r>
      <w:r>
        <w:rPr>
          <w:rFonts w:ascii="Times New Roman" w:cs="Times New Roman" w:eastAsia="Times New Roman" w:hAnsi="Times New Roman"/>
          <w:sz w:val="24"/>
          <w:szCs w:val="24"/>
        </w:rPr>
        <w:t xml:space="preserve"> validation framework, where OM (Outcome Metrics) represents a domain-linked set of clinical and operational indicators establishing whether high U-T-I-O alignment produces measurable patient benefit. Candidate lagging indicators include: U-domain → alert fatigue rates and clinical documentation time per encounter; T-domain → duplicate order prevention rates and diagnostic delays attributable to data unavailability; I-domain → population-level preventive screening uptake; O-domain → 30-day readmission rates as a proxy for care coordination quality. This extension moves the model through three stages of scientific maturity: Stage 1 (current)—descriptive validation; Stage 2 (near-term)—predictive validation via prospective studies; and Stage 3 (full maturity)—prescriptive validation in which interventions targeting low-scoring domains demonstrably improve both adoption maturity and clinical outcomes. Second, integration of AI clinical decision support tools introduces new I- and U-domain considerations. Third, expanding case analysis to low- and middle-income contexts would test generalizability under resource-constrained environments.</w:t>
      </w:r>
    </w:p>
    <w:p>
      <w:pPr>
        <w:spacing w:after="200" w:line="480"/>
      </w:pPr>
      <w:r>
        <w:rPr>
          <w:rFonts w:ascii="Times New Roman" w:cs="Times New Roman" w:eastAsia="Times New Roman" w:hAnsi="Times New Roman"/>
          <w:sz w:val="24"/>
          <w:szCs w:val="24"/>
        </w:rPr>
        <w:t xml:space="preserve">The U-T-I-O Model offers both a theoretical contribution to IS adoption science and a practical guide for healthcare leaders driving the transition to interoperable eHealth infrastructure.</w:t>
      </w:r>
    </w:p>
    <w:p>
      <w:r>
        <w:br w:type="page"/>
      </w:r>
    </w:p>
    <w:p>
      <w:pPr>
        <w:pStyle w:val="Heading1"/>
        <w:spacing w:after="200" w:before="480"/>
      </w:pPr>
      <w:r>
        <w:rPr>
          <w:rFonts w:ascii="Times New Roman" w:cs="Times New Roman" w:eastAsia="Times New Roman" w:hAnsi="Times New Roman"/>
          <w:b/>
          <w:bCs/>
          <w:sz w:val="28"/>
          <w:szCs w:val="28"/>
        </w:rPr>
        <w:t xml:space="preserve">Declaration of Generative AI and AI-assisted Technologies in the Writing Process</w:t>
      </w:r>
    </w:p>
    <w:p>
      <w:pPr>
        <w:spacing w:after="200" w:line="480"/>
      </w:pPr>
      <w:r>
        <w:rPr>
          <w:rFonts w:ascii="Times New Roman" w:cs="Times New Roman" w:eastAsia="Times New Roman" w:hAnsi="Times New Roman"/>
          <w:sz w:val="24"/>
          <w:szCs w:val="24"/>
        </w:rPr>
        <w:t xml:space="preserve">During the preparation of this manuscript, the author used Anthropic Claude (Anthropic, 2024–2026) for four distinct purposes: (1) as a supplementary second-rater tool to blind-re-rate U-T-I-O domain scores across four national eHealth implementation cases (Claude Opus 4.7, April 2026; per-cell justifications and adjudication log in Supplementary File S4); (2) to assist with literature and research assistance, including evidence synthesis and source cross-referencing; (3) to assist with language enhancement and text refinement; and (4) to assist with manuscript formatting and structural organization. All research design, analysis, interpretation, and intellectual contributions are the author’s own. The author has reviewed all AI-assisted content for factual accuracy and takes full responsibility for the integrity of the entire manuscript.</w:t>
      </w:r>
    </w:p>
    <w:p>
      <w:r>
        <w:br w:type="page"/>
      </w:r>
    </w:p>
    <w:p>
      <w:pPr>
        <w:pStyle w:val="Heading1"/>
        <w:spacing w:after="200" w:before="480"/>
      </w:pPr>
      <w:r>
        <w:rPr>
          <w:rFonts w:ascii="Times New Roman" w:cs="Times New Roman" w:eastAsia="Times New Roman" w:hAnsi="Times New Roman"/>
          <w:b/>
          <w:bCs/>
          <w:sz w:val="28"/>
          <w:szCs w:val="28"/>
        </w:rPr>
        <w:t xml:space="preserve">References</w:t>
      </w:r>
    </w:p>
    <w:p>
      <w:pPr>
        <w:spacing w:after="200" w:line="480"/>
      </w:pPr>
      <w:r>
        <w:rPr>
          <w:rFonts w:ascii="Times New Roman" w:cs="Times New Roman" w:eastAsia="Times New Roman" w:hAnsi="Times New Roman"/>
          <w:sz w:val="24"/>
          <w:szCs w:val="24"/>
        </w:rPr>
        <w:t xml:space="preserve">[1] Adler-Milstein J, DesRoches CM, Furukawa MF, et al. More than half of US hospitals have at least a basic EHR, but stage 2 criteria remain challenging for most. Health Aff (Millwood). 2014;33(9):1664–1671.</w:t>
      </w:r>
    </w:p>
    <w:p>
      <w:pPr>
        <w:spacing w:after="200" w:line="480"/>
      </w:pPr>
      <w:r>
        <w:rPr>
          <w:rFonts w:ascii="Times New Roman" w:cs="Times New Roman" w:eastAsia="Times New Roman" w:hAnsi="Times New Roman"/>
          <w:sz w:val="24"/>
          <w:szCs w:val="24"/>
        </w:rPr>
        <w:t xml:space="preserve">[2] Office of the National Coordinator for Health Information Technology (ONC). Report to Congress: Update on the Adoption of Health Information Technology and Related Efforts to Facilitate the Electronic Use and Exchange of Health Information. Washington, DC: HHS/ONC; 2025.</w:t>
      </w:r>
    </w:p>
    <w:p>
      <w:pPr>
        <w:spacing w:after="200" w:line="480"/>
      </w:pPr>
      <w:r>
        <w:rPr>
          <w:rFonts w:ascii="Times New Roman" w:cs="Times New Roman" w:eastAsia="Times New Roman" w:hAnsi="Times New Roman"/>
          <w:sz w:val="24"/>
          <w:szCs w:val="24"/>
        </w:rPr>
        <w:t xml:space="preserve">[3] Estonian eHealth Foundation. Overview of the Estonian Health Information System. Tallinn: Ministry of Social Affairs of Estonia; 2026. Available at: www.e-tervis.ee.</w:t>
      </w:r>
    </w:p>
    <w:p>
      <w:pPr>
        <w:spacing w:after="200" w:line="480"/>
      </w:pPr>
      <w:r>
        <w:rPr>
          <w:rFonts w:ascii="Times New Roman" w:cs="Times New Roman" w:eastAsia="Times New Roman" w:hAnsi="Times New Roman"/>
          <w:sz w:val="24"/>
          <w:szCs w:val="24"/>
        </w:rPr>
        <w:t xml:space="preserve">[4] Parv L, Valjas A, Sepper R. Using hospital information systems for the development of Estonian e-Health. Stud Health Technol Inform. 2012;180:886–890.</w:t>
      </w:r>
    </w:p>
    <w:p>
      <w:pPr>
        <w:spacing w:after="200" w:line="480"/>
      </w:pPr>
      <w:r>
        <w:rPr>
          <w:rFonts w:ascii="Times New Roman" w:cs="Times New Roman" w:eastAsia="Times New Roman" w:hAnsi="Times New Roman"/>
          <w:sz w:val="24"/>
          <w:szCs w:val="24"/>
        </w:rPr>
        <w:t xml:space="preserve">[5] U.S. Government Accountability Office. VA Electronic Health Record Modernization: Sustained Leadership Attention and Effective Oversight Are Critical to Delivering Capabilities to Veterans. GAO-25-107016. Washington, DC: GAO; 2025.</w:t>
      </w:r>
    </w:p>
    <w:p>
      <w:pPr>
        <w:spacing w:after="200" w:line="480"/>
      </w:pPr>
      <w:r>
        <w:rPr>
          <w:rFonts w:ascii="Times New Roman" w:cs="Times New Roman" w:eastAsia="Times New Roman" w:hAnsi="Times New Roman"/>
          <w:sz w:val="24"/>
          <w:szCs w:val="24"/>
        </w:rPr>
        <w:t xml:space="preserve">[6] U.S. Government Accountability Office. DOD Electronic Health Record: Numerous Unresolved Challenges Require Immediate Attention. GAO-24-106930. Washington, DC: GAO; 2024.</w:t>
      </w:r>
    </w:p>
    <w:p>
      <w:pPr>
        <w:spacing w:after="200" w:line="480"/>
      </w:pPr>
      <w:r>
        <w:rPr>
          <w:rFonts w:ascii="Times New Roman" w:cs="Times New Roman" w:eastAsia="Times New Roman" w:hAnsi="Times New Roman"/>
          <w:sz w:val="24"/>
          <w:szCs w:val="24"/>
        </w:rPr>
        <w:t xml:space="preserve">[7] DeLone WH, McLean ER. The DeLone and McLean model of information systems success: a ten-year update. J Manag Inf Syst. 2003;19(4):9–30.</w:t>
      </w:r>
    </w:p>
    <w:p>
      <w:pPr>
        <w:spacing w:after="200" w:line="480"/>
      </w:pPr>
      <w:r>
        <w:rPr>
          <w:rFonts w:ascii="Times New Roman" w:cs="Times New Roman" w:eastAsia="Times New Roman" w:hAnsi="Times New Roman"/>
          <w:sz w:val="24"/>
          <w:szCs w:val="24"/>
        </w:rPr>
        <w:t xml:space="preserve">[8] Tornatzky LG, Fleischer M. The Processes of Technological Innovation. Lexington, MA: Lexington Books; 1990.</w:t>
      </w:r>
    </w:p>
    <w:p>
      <w:pPr>
        <w:spacing w:after="200" w:line="480"/>
      </w:pPr>
      <w:r>
        <w:rPr>
          <w:rFonts w:ascii="Times New Roman" w:cs="Times New Roman" w:eastAsia="Times New Roman" w:hAnsi="Times New Roman"/>
          <w:sz w:val="24"/>
          <w:szCs w:val="24"/>
        </w:rPr>
        <w:t xml:space="preserve">[9] Eden KB, Totten AM, Kassakian SZ, et al. Barriers and facilitators to exchanging health information: a systematic review. Int J Med Inform. 2016;88:44–51.</w:t>
      </w:r>
    </w:p>
    <w:p>
      <w:pPr>
        <w:spacing w:after="200" w:line="480"/>
      </w:pPr>
      <w:r>
        <w:rPr>
          <w:rFonts w:ascii="Times New Roman" w:cs="Times New Roman" w:eastAsia="Times New Roman" w:hAnsi="Times New Roman"/>
          <w:sz w:val="24"/>
          <w:szCs w:val="24"/>
        </w:rPr>
        <w:t xml:space="preserve">[10] Kruse CS, Kristof C, Jones B, Mitchell E, Martinez A. Barriers to electronic health record adoption: a systematic literature review. J Med Syst. 2016;40(12):252.</w:t>
      </w:r>
    </w:p>
    <w:p>
      <w:pPr>
        <w:spacing w:after="200" w:line="480"/>
      </w:pPr>
      <w:r>
        <w:rPr>
          <w:rFonts w:ascii="Times New Roman" w:cs="Times New Roman" w:eastAsia="Times New Roman" w:hAnsi="Times New Roman"/>
          <w:sz w:val="24"/>
          <w:szCs w:val="24"/>
        </w:rPr>
        <w:t xml:space="preserve">[11] Aguirre RR, Suarez O, Fuentes M, Sanchez-Gonzalez MA. Electronic health record implementation: a review of resources and tools. Cureus. 2019;11(9):e5649.</w:t>
      </w:r>
    </w:p>
    <w:p>
      <w:pPr>
        <w:spacing w:after="200" w:line="480"/>
      </w:pPr>
      <w:r>
        <w:rPr>
          <w:rFonts w:ascii="Times New Roman" w:cs="Times New Roman" w:eastAsia="Times New Roman" w:hAnsi="Times New Roman"/>
          <w:sz w:val="24"/>
          <w:szCs w:val="24"/>
        </w:rPr>
        <w:t xml:space="preserve">[12] [Author, Year — citation blinded for peer review]. Strategies for successful adoption of electronic health records in healthcare organizations: qualitative study.</w:t>
      </w:r>
    </w:p>
    <w:p>
      <w:pPr>
        <w:spacing w:after="200" w:line="480"/>
      </w:pPr>
      <w:r>
        <w:rPr>
          <w:rFonts w:ascii="Times New Roman" w:cs="Times New Roman" w:eastAsia="Times New Roman" w:hAnsi="Times New Roman"/>
          <w:sz w:val="24"/>
          <w:szCs w:val="24"/>
        </w:rPr>
        <w:t xml:space="preserve">[13] Bossen C, Jensen LG, Udsen FW. Evaluation of a comprehensive EHR based on the DeLone and McLean model for IS success: approach, results, and success factors. Int J Med Inform. 2013;82(10):940–953.</w:t>
      </w:r>
    </w:p>
    <w:p>
      <w:pPr>
        <w:spacing w:after="200" w:line="480"/>
      </w:pPr>
      <w:r>
        <w:rPr>
          <w:rFonts w:ascii="Times New Roman" w:cs="Times New Roman" w:eastAsia="Times New Roman" w:hAnsi="Times New Roman"/>
          <w:sz w:val="24"/>
          <w:szCs w:val="24"/>
        </w:rPr>
        <w:t xml:space="preserve">[14] Holmgren AJ, Adler-Milstein J. Measuring progress in policy-driven health information exchange: where are we and what’s next? J Am Med Inform Assoc. 2023;30(6):1029–1034.</w:t>
      </w:r>
    </w:p>
    <w:p>
      <w:pPr>
        <w:spacing w:after="200" w:line="480"/>
      </w:pPr>
      <w:r>
        <w:rPr>
          <w:rFonts w:ascii="Times New Roman" w:cs="Times New Roman" w:eastAsia="Times New Roman" w:hAnsi="Times New Roman"/>
          <w:sz w:val="24"/>
          <w:szCs w:val="24"/>
        </w:rPr>
        <w:t xml:space="preserve">[15] Fennelly O, Cunningham C, Grogan L, et al. Successfully implementing a national electronic health record: a rapid umbrella review. Int J Med Inform. 2020;144:104281.</w:t>
      </w:r>
    </w:p>
    <w:p>
      <w:pPr>
        <w:spacing w:after="200" w:line="480"/>
      </w:pPr>
      <w:r>
        <w:rPr>
          <w:rFonts w:ascii="Times New Roman" w:cs="Times New Roman" w:eastAsia="Times New Roman" w:hAnsi="Times New Roman"/>
          <w:sz w:val="24"/>
          <w:szCs w:val="24"/>
        </w:rPr>
        <w:t xml:space="preserve">[16] Adler-Milstein J, Holmgren AJ, Kralovec P, Worzala C, Searcy T, Patel V. Electronic health record adoption in US hospitals: the emergence of a digital ‚dvanced use“ divide. J Am Med Inform Assoc. 2017;24(6):1142–1148.</w:t>
      </w:r>
    </w:p>
    <w:p>
      <w:pPr>
        <w:spacing w:after="200" w:line="480"/>
      </w:pPr>
      <w:r>
        <w:rPr>
          <w:rFonts w:ascii="Times New Roman" w:cs="Times New Roman" w:eastAsia="Times New Roman" w:hAnsi="Times New Roman"/>
          <w:sz w:val="24"/>
          <w:szCs w:val="24"/>
        </w:rPr>
        <w:t xml:space="preserve">[17] Page MJ, McKenzie JE, Bossuyt PM, et al. The PRISMA 2020 statement: an updated guideline for reporting systematic reviews. BMJ. 2021;372:n71.</w:t>
      </w:r>
    </w:p>
    <w:p>
      <w:pPr>
        <w:spacing w:after="200" w:line="480"/>
      </w:pPr>
      <w:r>
        <w:rPr>
          <w:rFonts w:ascii="Times New Roman" w:cs="Times New Roman" w:eastAsia="Times New Roman" w:hAnsi="Times New Roman"/>
          <w:sz w:val="24"/>
          <w:szCs w:val="24"/>
        </w:rPr>
        <w:t xml:space="preserve">[18] Yin RK. Case Study Research and Applications: Design and Methods. 6th ed. Thousand Oaks, CA: Sage; 2018.</w:t>
      </w:r>
    </w:p>
    <w:p>
      <w:pPr>
        <w:spacing w:after="200" w:line="480"/>
      </w:pPr>
      <w:r>
        <w:rPr>
          <w:rFonts w:ascii="Times New Roman" w:cs="Times New Roman" w:eastAsia="Times New Roman" w:hAnsi="Times New Roman"/>
          <w:sz w:val="24"/>
          <w:szCs w:val="24"/>
        </w:rPr>
        <w:t xml:space="preserve">[19] Patton MQ. Qualitative Research &amp; Evaluation Methods: Integrating Theory and Practice. 4th ed. Thousand Oaks, CA: Sage; 2015.</w:t>
      </w:r>
    </w:p>
    <w:p>
      <w:pPr>
        <w:spacing w:after="200" w:line="480"/>
      </w:pPr>
      <w:r>
        <w:rPr>
          <w:rFonts w:ascii="Times New Roman" w:cs="Times New Roman" w:eastAsia="Times New Roman" w:hAnsi="Times New Roman"/>
          <w:sz w:val="24"/>
          <w:szCs w:val="24"/>
        </w:rPr>
        <w:t xml:space="preserve">[20] NHS England. Shared Care Records Programme: Progress and Implementation Report. London: NHS England; 2025.</w:t>
      </w:r>
    </w:p>
    <w:p>
      <w:pPr>
        <w:spacing w:after="200" w:line="480"/>
      </w:pPr>
      <w:r>
        <w:rPr>
          <w:rFonts w:ascii="Times New Roman" w:cs="Times New Roman" w:eastAsia="Times New Roman" w:hAnsi="Times New Roman"/>
          <w:sz w:val="24"/>
          <w:szCs w:val="24"/>
        </w:rPr>
        <w:t xml:space="preserve">[21] Torab-Miandoab A, Samad-Soltani T, Jodati A, Rezaei-Hachesu P. Interoperability of heterogeneous health information systems: a systematic literature review. BMC Med Inform Decis Mak. 2023;23(1):18.</w:t>
      </w:r>
    </w:p>
    <w:p>
      <w:pPr>
        <w:spacing w:after="200" w:line="480"/>
      </w:pPr>
      <w:r>
        <w:rPr>
          <w:rFonts w:ascii="Times New Roman" w:cs="Times New Roman" w:eastAsia="Times New Roman" w:hAnsi="Times New Roman"/>
          <w:sz w:val="24"/>
          <w:szCs w:val="24"/>
        </w:rPr>
        <w:t xml:space="preserve">[22] European Commission. eHealth Action Plan 2012-2020: Innovative Healthcare for the 21st Century and the Estonian Case Study. Brussels: European Commission; 2016.</w:t>
      </w:r>
    </w:p>
    <w:p>
      <w:pPr>
        <w:spacing w:after="200" w:line="480"/>
      </w:pPr>
      <w:r>
        <w:rPr>
          <w:rFonts w:ascii="Times New Roman" w:cs="Times New Roman" w:eastAsia="Times New Roman" w:hAnsi="Times New Roman"/>
          <w:sz w:val="24"/>
          <w:szCs w:val="24"/>
        </w:rPr>
        <w:t xml:space="preserve">[23] 45 CFR §164.514. Health Insurance Portability and Accountability Act: Standards for de-identification of protected health information. Code of Federal Regulations; 2024.</w:t>
      </w:r>
    </w:p>
    <w:p>
      <w:pPr>
        <w:spacing w:after="200" w:line="480"/>
      </w:pPr>
      <w:r>
        <w:rPr>
          <w:rFonts w:ascii="Times New Roman" w:cs="Times New Roman" w:eastAsia="Times New Roman" w:hAnsi="Times New Roman"/>
          <w:sz w:val="24"/>
          <w:szCs w:val="24"/>
        </w:rPr>
        <w:t xml:space="preserve">[24] U.S. Department of Health and Human Services. Guidance Regarding Methods for De-identification of Protected Health Information in Accordance with the Health Insurance Portability and Accountability Act (HIPAA) Privacy Rule. Washington, DC: HHS; 2012.</w:t>
      </w:r>
    </w:p>
    <w:p>
      <w:pPr>
        <w:spacing w:after="200" w:line="480"/>
      </w:pPr>
      <w:r>
        <w:rPr>
          <w:rFonts w:ascii="Times New Roman" w:cs="Times New Roman" w:eastAsia="Times New Roman" w:hAnsi="Times New Roman"/>
          <w:sz w:val="24"/>
          <w:szCs w:val="24"/>
        </w:rPr>
        <w:t xml:space="preserve">[25] National Institute of Standards and Technology (NIST). Risk Management Framework for Information Systems and Organizations: A System Life Cycle Approach for Security and Privacy. SP 800-37 Rev. 2. Gaithersburg, MD: NIST; 2018.</w:t>
      </w:r>
    </w:p>
    <w:p>
      <w:pPr>
        <w:spacing w:after="200" w:line="480"/>
      </w:pPr>
      <w:r>
        <w:rPr>
          <w:rFonts w:ascii="Times New Roman" w:cs="Times New Roman" w:eastAsia="Times New Roman" w:hAnsi="Times New Roman"/>
          <w:sz w:val="24"/>
          <w:szCs w:val="24"/>
        </w:rPr>
        <w:t xml:space="preserve">[26] National Institute of Standards and Technology (NIST). Security and Privacy Controls for Information Systems and Organizations. SP 800-53 Rev. 5. Gaithersburg, MD: NIST; 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36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2026-05-06T07:44:11.228Z</dcterms:created>
  <dcterms:modified xsi:type="dcterms:W3CDTF">2026-05-06T07:44:11.228Z</dcterms:modified>
</cp:coreProperties>
</file>

<file path=docProps/custom.xml><?xml version="1.0" encoding="utf-8"?>
<Properties xmlns="http://schemas.openxmlformats.org/officeDocument/2006/custom-properties" xmlns:vt="http://schemas.openxmlformats.org/officeDocument/2006/docPropsVTypes"/>
</file>