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hd w:fill="1F3864" w:val="clear"/>
        <w:spacing w:after="200" w:before="200"/>
        <w:ind w:left="720" w:right="720"/>
        <w:jc w:val="center"/>
      </w:pPr>
      <w:r>
        <w:rPr>
          <w:rFonts w:ascii="Arial" w:cs="Arial" w:eastAsia="Arial" w:hAnsi="Arial"/>
          <w:b/>
          <w:bCs/>
          <w:color w:val="FFFFFF"/>
          <w:sz w:val="44"/>
          <w:szCs w:val="44"/>
        </w:rPr>
        <w:t xml:space="preserve">RESEARCH PLAN &amp; MANUSCRIPT REVIEW</w:t>
      </w:r>
    </w:p>
    <w:p>
      <w:pPr>
        <w:spacing w:after="80" w:before="120"/>
        <w:jc w:val="center"/>
      </w:pPr>
      <w:r>
        <w:rPr>
          <w:rFonts w:ascii="Arial" w:cs="Arial" w:eastAsia="Arial" w:hAnsi="Arial"/>
          <w:b/>
          <w:bCs/>
          <w:color w:val="1F3864"/>
          <w:sz w:val="28"/>
          <w:szCs w:val="28"/>
        </w:rPr>
        <w:t xml:space="preserve">Determinants of eHealth Systems Adoption:</w:t>
      </w:r>
    </w:p>
    <w:p>
      <w:pPr>
        <w:spacing w:after="200" w:before="0"/>
        <w:jc w:val="center"/>
      </w:pPr>
      <w:r>
        <w:rPr>
          <w:rFonts w:ascii="Arial" w:cs="Arial" w:eastAsia="Arial" w:hAnsi="Arial"/>
          <w:color w:val="2E75B6"/>
          <w:sz w:val="26"/>
          <w:szCs w:val="26"/>
        </w:rPr>
        <w:t xml:space="preserve">A Systematic Review and Multi-Case Analysis</w:t>
      </w:r>
    </w:p>
    <w:p>
      <w:pPr>
        <w:pBdr>
          <w:top w:val="single" w:color="2E75B6" w:sz="4"/>
          <w:bottom w:val="single" w:color="2E75B6" w:sz="4"/>
        </w:pBdr>
        <w:spacing w:after="120" w:before="120"/>
        <w:jc w:val="center"/>
      </w:pPr>
      <w:r>
        <w:rPr>
          <w:rFonts w:ascii="Arial" w:cs="Arial" w:eastAsia="Arial" w:hAnsi="Arial"/>
          <w:color w:val="444444"/>
          <w:sz w:val="20"/>
          <w:szCs w:val="20"/>
        </w:rPr>
        <w:t>Prepared for: Joshua Adams, D.I.T.  |  Date: April 29, 2026</w:t>
      </w:r>
    </w:p>
    <w:p>
      <w:r>
        <w:rPr>
          <w:i/>
        </w:rPr>
        <w:t>Update note (post-revision): The manuscript has been substantively revised since this plan was drafted. Stub sections (Introduction, Background, Conclusion, Abstract) have been expanded; the formal search strategy is documented in notes/search-strategy.md and Supplementary File S1; PRISMA Figure 1 and Table 2 counts have been synchronised with the seed-set tracker (prisma/prisma-counts.xlsx). Submission target updated to IJMI Reviews article type (4,000-word full-text limit). Status assessments below reflect the pre-revision state and are retained as a historical record. Hybrid revision (June 2026): the Adoption = f(U,T,I,O) relationship is now framed as a conceptual statement of dependence, and an explicit, equal-weighted U-T-I-O Alignment Index (ordinal-derived, 0–1 scale) is now a standing methodological element used for cross-case comparison; the model is presented throughout as a diagnostic readiness framework, not a validated predictor. In the same pass the table/figure budget was brought within IJMI limits (3 tables, 2 figures; the Alignment Index is now Figure 2, and three reference tables were moved to Supplementary Materials), and the body text was trimmed toward the 4,000-word limit.</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vAlign w:val="center"/>
          </w:tcPr>
          <w:p>
            <w:pPr>
              <w:jc w:val="center"/>
            </w:pPr>
            <w:r>
              <w:rPr>
                <w:rFonts w:ascii="Arial" w:cs="Arial" w:eastAsia="Arial" w:hAnsi="Arial"/>
                <w:b/>
                <w:bCs/>
                <w:color w:val="1F3864"/>
                <w:sz w:val="36"/>
                <w:szCs w:val="36"/>
              </w:rPr>
              <w:t xml:space="preserve">~85%</w:t>
            </w:r>
          </w:p>
          <w:p>
            <w:pPr>
              <w:jc w:val="center"/>
            </w:pPr>
            <w:r>
              <w:rPr>
                <w:rFonts w:ascii="Arial" w:cs="Arial" w:eastAsia="Arial" w:hAnsi="Arial"/>
                <w:color w:val="555555"/>
                <w:sz w:val="18"/>
                <w:szCs w:val="18"/>
              </w:rPr>
              <w:t xml:space="preserve">Manuscript Complete</w:t>
            </w:r>
          </w:p>
        </w:tc>
        <w:tc>
          <w:tcPr>
            <w:tcW w:type="dxa" w:w="2340"/>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vAlign w:val="center"/>
          </w:tcPr>
          <w:p>
            <w:pPr>
              <w:jc w:val="center"/>
            </w:pPr>
            <w:r>
              <w:rPr>
                <w:rFonts w:ascii="Arial" w:cs="Arial" w:eastAsia="Arial" w:hAnsi="Arial"/>
                <w:b/>
                <w:bCs/>
                <w:color w:val="1F3864"/>
                <w:sz w:val="36"/>
                <w:szCs w:val="36"/>
              </w:rPr>
              <w:t xml:space="preserve">17</w:t>
            </w:r>
          </w:p>
          <w:p>
            <w:pPr>
              <w:jc w:val="center"/>
            </w:pPr>
            <w:r>
              <w:rPr>
                <w:rFonts w:ascii="Arial" w:cs="Arial" w:eastAsia="Arial" w:hAnsi="Arial"/>
                <w:color w:val="555555"/>
                <w:sz w:val="18"/>
                <w:szCs w:val="18"/>
              </w:rPr>
              <w:t xml:space="preserve">Evidence Sources</w:t>
            </w:r>
          </w:p>
        </w:tc>
        <w:tc>
          <w:tcPr>
            <w:tcW w:type="dxa" w:w="2340"/>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vAlign w:val="center"/>
          </w:tcPr>
          <w:p>
            <w:pPr>
              <w:jc w:val="center"/>
            </w:pPr>
            <w:r>
              <w:rPr>
                <w:rFonts w:ascii="Arial" w:cs="Arial" w:eastAsia="Arial" w:hAnsi="Arial"/>
                <w:b/>
                <w:bCs/>
                <w:color w:val="1F3864"/>
                <w:sz w:val="36"/>
                <w:szCs w:val="36"/>
              </w:rPr>
              <w:t xml:space="preserve">4</w:t>
            </w:r>
          </w:p>
          <w:p>
            <w:pPr>
              <w:jc w:val="center"/>
            </w:pPr>
            <w:r>
              <w:rPr>
                <w:rFonts w:ascii="Arial" w:cs="Arial" w:eastAsia="Arial" w:hAnsi="Arial"/>
                <w:color w:val="555555"/>
                <w:sz w:val="18"/>
                <w:szCs w:val="18"/>
              </w:rPr>
              <w:t xml:space="preserve">Case Studies</w:t>
            </w:r>
          </w:p>
        </w:tc>
        <w:tc>
          <w:tcPr>
            <w:tcW w:type="dxa" w:w="2340"/>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vAlign w:val="center"/>
          </w:tcPr>
          <w:p>
            <w:pPr>
              <w:jc w:val="center"/>
            </w:pPr>
            <w:r>
              <w:rPr>
                <w:rFonts w:ascii="Arial" w:cs="Arial" w:eastAsia="Arial" w:hAnsi="Arial"/>
                <w:b/>
                <w:bCs/>
                <w:color w:val="1F3864"/>
                <w:sz w:val="36"/>
                <w:szCs w:val="36"/>
              </w:rPr>
              <w:t xml:space="preserve">5</w:t>
            </w:r>
          </w:p>
          <w:p>
            <w:pPr>
              <w:jc w:val="center"/>
            </w:pPr>
            <w:r>
              <w:rPr>
                <w:rFonts w:ascii="Arial" w:cs="Arial" w:eastAsia="Arial" w:hAnsi="Arial"/>
                <w:color w:val="555555"/>
                <w:sz w:val="18"/>
                <w:szCs w:val="18"/>
              </w:rPr>
              <w:t xml:space="preserve">Journal Options</w:t>
            </w:r>
          </w:p>
        </w:tc>
      </w:tr>
    </w:tbl>
    <w:p>
      <w:r>
        <w:br w:type="page"/>
      </w:r>
    </w:p>
    <w:p>
      <w:pPr>
        <w:pStyle w:val="Heading1"/>
        <w:shd w:fill="1F3864" w:val="clear"/>
        <w:spacing w:after="160" w:before="320"/>
        <w:ind w:left="200" w:right="200"/>
      </w:pPr>
      <w:r>
        <w:rPr>
          <w:rFonts w:ascii="Arial" w:cs="Arial" w:eastAsia="Arial" w:hAnsi="Arial"/>
          <w:b/>
          <w:bCs/>
          <w:color w:val="FFFFFF"/>
          <w:sz w:val="32"/>
          <w:szCs w:val="32"/>
        </w:rPr>
        <w:t xml:space="preserve">1.  Executive Summary</w:t>
      </w:r>
    </w:p>
    <w:p>
      <w:pPr>
        <w:spacing w:after="60" w:before="60"/>
      </w:pPr>
      <w:r>
        <w:t xml:space="preserve"/>
      </w:r>
    </w:p>
    <w:p>
      <w:pPr>
        <w:spacing w:after="100" w:before="80" w:line="280"/>
        <w:jc w:val="both"/>
      </w:pPr>
      <w:r>
        <w:rPr>
          <w:rFonts w:ascii="Arial" w:cs="Arial" w:eastAsia="Arial" w:hAnsi="Arial"/>
          <w:color w:val="000000"/>
          <w:sz w:val="20"/>
          <w:szCs w:val="20"/>
        </w:rPr>
        <w:t xml:space="preserve">This research plan provides a structured assessment of the eHealth Systems Adoption Systematic Review manuscript and outlines the steps required to advance it to journal submission. The study integrates a PRISMA-based systematic review with a comparative multi-case analysis of four national eHealth implementations, organized around the novel U-T-I-O Model (User Readiness, Technical Interoperability, Institutional Alignment, Organizational Execution).</w:t>
      </w:r>
    </w:p>
    <w:p>
      <w:pPr>
        <w:spacing w:after="60" w:before="60"/>
      </w:pPr>
      <w:r>
        <w:t xml:space="preserve"/>
      </w:r>
    </w:p>
    <w:p>
      <w:pPr>
        <w:spacing w:after="100" w:before="80" w:line="280"/>
        <w:jc w:val="both"/>
      </w:pPr>
      <w:r>
        <w:rPr>
          <w:rFonts w:ascii="Arial" w:cs="Arial" w:eastAsia="Arial" w:hAnsi="Arial"/>
          <w:color w:val="000000"/>
          <w:sz w:val="20"/>
          <w:szCs w:val="20"/>
        </w:rPr>
        <w:t xml:space="preserve">The manuscript is substantively advanced — all major sections exist and the theoretical and analytical core is solid. However, several sections are in stub or outline form and require significant expansion before the manuscript reaches submission quality. The primary areas requiring work are the Introduction, Background, Methods, and Conclusion sections, which collectively represent thin drafts of 1–3 sentences each.</w:t>
      </w:r>
    </w:p>
    <w:p>
      <w:pPr>
        <w:spacing w:after="60" w:before="60"/>
      </w:pPr>
      <w:r>
        <w:t xml:space="preserve"/>
      </w:r>
    </w:p>
    <w:p>
      <w:pPr>
        <w:pBdr>
          <w:left w:val="single" w:color="2E75B6" w:sz="12"/>
        </w:pBdr>
        <w:shd w:fill="E3F2FD" w:val="clear"/>
        <w:spacing w:after="120" w:before="120" w:line="280"/>
        <w:ind w:left="360" w:right="360"/>
      </w:pPr>
      <w:r>
        <w:rPr>
          <w:rFonts w:ascii="Arial" w:cs="Arial" w:eastAsia="Arial" w:hAnsi="Arial"/>
          <w:color w:val="4A4A4A"/>
          <w:sz w:val="20"/>
          <w:szCs w:val="20"/>
        </w:rPr>
        <w:t xml:space="preserve">The U-T-I-O Model is the central intellectual contribution of this work. Every editorial decision — which sections to expand, which journal to target, how to frame the discussion — should protect and highlight this contribution. The framework-versus-evaluation-model question raised in review is resolved via a hybrid: U-T-I-O remains a diagnostic framework, with its categorical domain ratings additionally expressed as an explicit, equal-weighted U-T-I-O Alignment Index (0–1 scale) that supplies the scored, comparable output reviewers expected, without overclaiming predictive validity.</w:t>
      </w:r>
    </w:p>
    <w:p>
      <w:pPr>
        <w:spacing w:after="60" w:before="60"/>
      </w:pPr>
      <w:r>
        <w:t xml:space="preserve"/>
      </w:r>
    </w:p>
    <w:p>
      <w:pPr>
        <w:spacing w:after="100" w:before="80" w:line="280"/>
        <w:jc w:val="both"/>
      </w:pPr>
      <w:r>
        <w:rPr>
          <w:rFonts w:ascii="Arial" w:cs="Arial" w:eastAsia="Arial" w:hAnsi="Arial"/>
          <w:b/>
          <w:bCs/>
          <w:color w:val="000000"/>
          <w:sz w:val="20"/>
          <w:szCs w:val="20"/>
        </w:rPr>
        <w:t xml:space="preserve">Key priorities for this phase of work:</w:t>
      </w:r>
    </w:p>
    <w:p>
      <w:pPr>
        <w:pStyle w:val="ListParagraph"/>
        <w:numPr>
          <w:ilvl w:val="0"/>
          <w:numId w:val="2"/>
        </w:numPr>
        <w:spacing w:after="40" w:before="40" w:line="260"/>
      </w:pPr>
      <w:r>
        <w:rPr>
          <w:rFonts w:ascii="Arial" w:cs="Arial" w:eastAsia="Arial" w:hAnsi="Arial"/>
          <w:b w:val="false"/>
          <w:bCs w:val="false"/>
          <w:sz w:val="20"/>
          <w:szCs w:val="20"/>
        </w:rPr>
        <w:t xml:space="preserve">Expand Introduction from 1 paragraph to a full 600–900 word section establishing context, gap, and significance</w:t>
      </w:r>
    </w:p>
    <w:p>
      <w:pPr>
        <w:pStyle w:val="ListParagraph"/>
        <w:numPr>
          <w:ilvl w:val="0"/>
          <w:numId w:val="2"/>
        </w:numPr>
        <w:spacing w:after="40" w:before="40" w:line="260"/>
      </w:pPr>
      <w:r>
        <w:rPr>
          <w:rFonts w:ascii="Arial" w:cs="Arial" w:eastAsia="Arial" w:hAnsi="Arial"/>
          <w:b w:val="false"/>
          <w:bCs w:val="false"/>
          <w:sz w:val="20"/>
          <w:szCs w:val="20"/>
        </w:rPr>
        <w:t xml:space="preserve">Expand Background from 2 sentences to a full 700–1,000 word section developing DeLone &amp; McLean, TOE framework, and their synthesis into U-T-I-O</w:t>
      </w:r>
    </w:p>
    <w:p>
      <w:pPr>
        <w:pStyle w:val="ListParagraph"/>
        <w:numPr>
          <w:ilvl w:val="0"/>
          <w:numId w:val="2"/>
        </w:numPr>
        <w:spacing w:after="40" w:before="40" w:line="260"/>
      </w:pPr>
      <w:r>
        <w:rPr>
          <w:rFonts w:ascii="Arial" w:cs="Arial" w:eastAsia="Arial" w:hAnsi="Arial"/>
          <w:b w:val="false"/>
          <w:bCs w:val="false"/>
          <w:sz w:val="20"/>
          <w:szCs w:val="20"/>
        </w:rPr>
        <w:t xml:space="preserve">Formalize the PRISMA search strategy with actual database query strings</w:t>
      </w:r>
    </w:p>
    <w:p>
      <w:pPr>
        <w:pStyle w:val="ListParagraph"/>
        <w:numPr>
          <w:ilvl w:val="0"/>
          <w:numId w:val="2"/>
        </w:numPr>
        <w:spacing w:after="40" w:before="40" w:line="260"/>
      </w:pPr>
      <w:r>
        <w:rPr>
          <w:rFonts w:ascii="Arial" w:cs="Arial" w:eastAsia="Arial" w:hAnsi="Arial"/>
          <w:b w:val="false"/>
          <w:bCs w:val="false"/>
          <w:sz w:val="20"/>
          <w:szCs w:val="20"/>
        </w:rPr>
        <w:t xml:space="preserve">Expand Abstract to structured format (Background / Objective / Methods / Results / Conclusions)</w:t>
      </w:r>
    </w:p>
    <w:p>
      <w:pPr>
        <w:pStyle w:val="ListParagraph"/>
        <w:numPr>
          <w:ilvl w:val="0"/>
          <w:numId w:val="2"/>
        </w:numPr>
        <w:spacing w:after="40" w:before="40" w:line="260"/>
      </w:pPr>
      <w:r>
        <w:rPr>
          <w:rFonts w:ascii="Arial" w:cs="Arial" w:eastAsia="Arial" w:hAnsi="Arial"/>
          <w:b w:val="false"/>
          <w:bCs w:val="false"/>
          <w:sz w:val="20"/>
          <w:szCs w:val="20"/>
        </w:rPr>
        <w:t xml:space="preserve">Expand Conclusion from 2 sentences to a 350–500 word section with forward-looking implications</w:t>
      </w:r>
    </w:p>
    <w:p>
      <w:pPr>
        <w:pStyle w:val="ListParagraph"/>
        <w:numPr>
          <w:ilvl w:val="0"/>
          <w:numId w:val="2"/>
        </w:numPr>
        <w:spacing w:after="40" w:before="40" w:line="260"/>
      </w:pPr>
      <w:r>
        <w:rPr>
          <w:rFonts w:ascii="Arial" w:cs="Arial" w:eastAsia="Arial" w:hAnsi="Arial"/>
          <w:b w:val="false"/>
          <w:bCs w:val="false"/>
          <w:sz w:val="20"/>
          <w:szCs w:val="20"/>
        </w:rPr>
        <w:t xml:space="preserve">Target submission to International Journal of Medical Informatics or Health Informatics Journal (no mandatory APC)</w:t>
      </w:r>
    </w:p>
    <w:p>
      <w:pPr>
        <w:spacing w:after="60" w:before="60"/>
      </w:pPr>
      <w:r>
        <w:t xml:space="preserve"/>
      </w:r>
    </w:p>
    <w:p>
      <w:r>
        <w:br w:type="page"/>
      </w:r>
    </w:p>
    <w:p>
      <w:pPr>
        <w:pStyle w:val="Heading1"/>
        <w:shd w:fill="1F3864" w:val="clear"/>
        <w:spacing w:after="160" w:before="320"/>
        <w:ind w:left="200" w:right="200"/>
      </w:pPr>
      <w:r>
        <w:rPr>
          <w:rFonts w:ascii="Arial" w:cs="Arial" w:eastAsia="Arial" w:hAnsi="Arial"/>
          <w:b/>
          <w:bCs/>
          <w:color w:val="FFFFFF"/>
          <w:sz w:val="32"/>
          <w:szCs w:val="32"/>
        </w:rPr>
        <w:t xml:space="preserve">2.  Section-by-Section Manuscript Review</w:t>
      </w:r>
    </w:p>
    <w:p>
      <w:pPr>
        <w:spacing w:after="60" w:before="60"/>
      </w:pPr>
      <w:r>
        <w:t xml:space="preserve"/>
      </w:r>
    </w:p>
    <w:p>
      <w:pPr>
        <w:spacing w:after="100" w:before="80" w:line="280"/>
        <w:jc w:val="both"/>
      </w:pPr>
      <w:r>
        <w:rPr>
          <w:rFonts w:ascii="Arial" w:cs="Arial" w:eastAsia="Arial" w:hAnsi="Arial"/>
          <w:color w:val="000000"/>
          <w:sz w:val="20"/>
          <w:szCs w:val="20"/>
        </w:rPr>
        <w:t xml:space="preserve">The following table summarizes the current state of each manuscript section, with status ratings and specific revision notes.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none" w:color="FFFFFF" w:sz="0"/>
              <w:left w:val="none" w:color="FFFFFF" w:sz="0"/>
              <w:bottom w:val="none" w:color="FFFFFF" w:sz="0"/>
              <w:right w:val="none" w:color="FFFFFF" w:sz="0"/>
            </w:tcBorders>
            <w:shd w:fill="375623"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COMPLETE</w:t>
            </w:r>
          </w:p>
        </w:tc>
        <w:tc>
          <w:tcPr>
            <w:tcW w:type="dxa" w:w="1800"/>
            <w:tcBorders>
              <w:top w:val="none" w:color="FFFFFF" w:sz="0"/>
              <w:left w:val="none" w:color="FFFFFF" w:sz="0"/>
              <w:bottom w:val="none" w:color="FFFFFF" w:sz="0"/>
              <w:right w:val="none" w:color="FFFFFF" w:sz="0"/>
            </w:tcBorders>
            <w:shd w:fill="2E75B6"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NEEDS POLISH</w:t>
            </w:r>
          </w:p>
        </w:tc>
        <w:tc>
          <w:tcPr>
            <w:tcW w:type="dxa" w:w="1800"/>
            <w:tcBorders>
              <w:top w:val="none" w:color="FFFFFF" w:sz="0"/>
              <w:left w:val="none" w:color="FFFFFF" w:sz="0"/>
              <w:bottom w:val="none" w:color="FFFFFF" w:sz="0"/>
              <w:right w:val="none" w:color="FFFFFF" w:sz="0"/>
            </w:tcBorders>
            <w:shd w:fill="C55A11"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NEEDS EXPANSION</w:t>
            </w:r>
          </w:p>
        </w:tc>
        <w:tc>
          <w:tcPr>
            <w:tcW w:type="dxa" w:w="1800"/>
            <w:tcBorders>
              <w:top w:val="none" w:color="FFFFFF" w:sz="0"/>
              <w:left w:val="none" w:color="FFFFFF" w:sz="0"/>
              <w:bottom w:val="none" w:color="FFFFFF" w:sz="0"/>
              <w:right w:val="none" w:color="FFFFFF" w:sz="0"/>
            </w:tcBorders>
            <w:shd w:fill="C00000"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STUB</w:t>
            </w:r>
          </w:p>
        </w:tc>
        <w:tc>
          <w:tcPr>
            <w:tcW w:type="dxa" w:w="21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pPr>
              <w:jc w:val="center"/>
            </w:pPr>
            <w:r>
              <w:rPr>
                <w:rFonts w:ascii="Arial" w:cs="Arial" w:eastAsia="Arial" w:hAnsi="Arial"/>
                <w:color w:val="555555"/>
                <w:sz w:val="17"/>
                <w:szCs w:val="17"/>
              </w:rPr>
              <w:t xml:space="preserve">Legend: Current status of each section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Section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b/>
                <w:bCs/>
                <w:color w:val="FFFFFF"/>
                <w:sz w:val="18"/>
                <w:szCs w:val="18"/>
              </w:rPr>
              <w:t xml:space="preserve">Status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Assessment &amp; Revision Notes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bCs/>
                <w:color w:val="000000"/>
                <w:sz w:val="18"/>
                <w:szCs w:val="18"/>
              </w:rPr>
              <w:t xml:space="preserve">Abstract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POLISH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Current abstract is 4 sentences — functional but unstructured. Needs expansion to a structured abstract (~200–250 words) with labeled sections: Background, Objective, Methods, Results, Conclusions. Add specific numbers (17 sources, 4 cases, 3 databases). Most journals require structured abstracts.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bCs/>
                <w:color w:val="000000"/>
                <w:sz w:val="18"/>
                <w:szCs w:val="18"/>
              </w:rPr>
              <w:t xml:space="preserve">Introduction</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Currently a single 3-sentence paragraph. This is the most critical gap. A submission-ready introduction requires: (1) global eHealth adoption context with data; (2) problem statement — why adoption remains inconsistent; (3) identification of the research gap in existing frameworks; (4) statement of study objectives and contributions; (5) roadmap of article structure. Target: 600–900 words.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bCs/>
                <w:color w:val="000000"/>
                <w:sz w:val="18"/>
                <w:szCs w:val="18"/>
              </w:rPr>
              <w:t xml:space="preserve">Background &amp; Theory</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Currently 2 sentences. Needs full development of: DeLone &amp; McLean IS Success Model (2003) with its dimensions; TOE Framework (Tornatzky &amp; Fleischer, 1990) with technology/organization/environment contexts; synthesis of both into the U-T-I-O model; positioning relative to prior eHealth adoption literature. Target: 700–1,000 words.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bCs/>
                <w:color w:val="000000"/>
                <w:sz w:val="18"/>
                <w:szCs w:val="18"/>
              </w:rPr>
              <w:t xml:space="preserve">Research Questions</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Three RQs are clearly articulated and well-aligned with the U-T-I-O framework. Reworded per reviewer guidance: RQ1 now asks which determinants most significantly (not “consistently”) influence adoption; RQ2 drops “real-world” (now “…reflected in implementations”); RQ3 asks how determinants can be consolidated into a broad-based adoption model (replacing “synthesized into a reusable model”). Wording is propagated to research_questions.tex and the Discussion restatements.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bCs/>
                <w:color w:val="000000"/>
                <w:sz w:val="18"/>
                <w:szCs w:val="18"/>
              </w:rPr>
              <w:t xml:space="preserve">Methods</w:t>
            </w:r>
          </w:p>
        </w:tc>
        <w:tc>
          <w:tcPr>
            <w:tcW w:type="dxa" w:w="1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EXPANSION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Structure is solid (PRISMA, inclusion/exclusion, cases, model). Largely resolved: formal search query strings added (Supplementary File S1); PRISMA flow counts synchronised; data-extraction procedure and an AI-assisted second-rater inter-rater check documented (Supplementary File S4); explicit case-selection rationale added (Estonia as high-alignment anchor; VA and DoD treated as one paired case on the shared Oracle Health Millennium platform). The Analytical Model now reframes the equation as conceptual and adds a U-T-I-O Alignment Index subsection (Eq. 2, equidistant ordinal-to-numeric mapping, and three interpretation constraints). Remaining methods work folded into the word-count trim.</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bCs/>
                <w:color w:val="000000"/>
                <w:sz w:val="18"/>
                <w:szCs w:val="18"/>
              </w:rPr>
              <w:t xml:space="preserve">Results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POLISH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The core content is present: four-domain synthesis and case comparison table are solid. Updated: opening paragraph now quantifies the evidence base; a new “U-T-I-O Alignment Index” subsection summarises each case on a 0–1 scale, rendered as Figure 2 (Estonia 1.00; ONC HIE and NHS 0.83; VA/DoD 0.50); the synthesis narrative now weaves these index values, and the bare repeated equation has been removed.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bCs/>
                <w:color w:val="000000"/>
                <w:sz w:val="18"/>
                <w:szCs w:val="18"/>
              </w:rPr>
              <w:t xml:space="preserve">Discussion</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The strongest section. Market dynamics, ethical alignment, theoretical perspective, and practical implications are all well-developed. Minor polish only: ensure all cross-references to tables are present; add 1–2 sentences explicitly connecting back to each research question.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bCs/>
                <w:color w:val="000000"/>
                <w:sz w:val="18"/>
                <w:szCs w:val="18"/>
              </w:rPr>
              <w:t xml:space="preserve">Limitations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POLISH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Present but minimal (3 sentences). Add: (1) English-language bias limitation; (2) reliance on publicly available case documentation; (3) potential for confirmatory bias in framework application; (4) generalizability statement. Target: 150–200 words total.</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bCs/>
                <w:color w:val="000000"/>
                <w:sz w:val="18"/>
                <w:szCs w:val="18"/>
              </w:rPr>
              <w:t xml:space="preserve">Conclusion</w:t>
            </w:r>
          </w:p>
        </w:tc>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STUB</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Currently 2 sentences. Needs: (1) restatement of study purpose; (2) summary of U-T-I-O model findings; (3) key practical takeaways for each domain; (4) research implications and future directions (AI-enabled diagnostics bridge); (5) closing statement. Target: 350–500 words.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bCs/>
                <w:color w:val="000000"/>
                <w:sz w:val="18"/>
                <w:szCs w:val="18"/>
              </w:rPr>
              <w:t xml:space="preserve">Ethics &amp; Compliance</w:t>
            </w:r>
          </w:p>
        </w:tc>
        <w:tc>
          <w:tcPr>
            <w:tcW w:type="dxa" w:w="15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Well-developed. HIPAA, HITECH, NIST alignment clearly documented. IRB exemption properly justified. No changes needed.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bCs/>
                <w:color w:val="000000"/>
                <w:sz w:val="18"/>
                <w:szCs w:val="18"/>
              </w:rPr>
              <w:t xml:space="preserve">References (.bib)</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POLISH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19 entries present. Verify: (1) all in-text citations have a matching .bib entry; (2) Adler-Milstein (2023) entry is incomplete — missing volume/pages; (3) Holmes et al. (2016) entry is incomplete — missing volume/pages; (4) Bossen et al. (2013) is in .bib but may not be cited in text.</w:t>
            </w:r>
          </w:p>
        </w:tc>
      </w:tr>
    </w:tbl>
    <w:p>
      <w:pPr>
        <w:spacing w:after="60" w:before="60"/>
      </w:pPr>
      <w:r>
        <w:t xml:space="preserve"/>
      </w:r>
    </w:p>
    <w:p>
      <w:pPr>
        <w:spacing w:after="60" w:before="60"/>
      </w:pPr>
      <w:r>
        <w:t xml:space="preserve"/>
      </w:r>
    </w:p>
    <w:p>
      <w:r>
        <w:br w:type="page"/>
      </w:r>
    </w:p>
    <w:p>
      <w:pPr>
        <w:pStyle w:val="Heading1"/>
        <w:shd w:fill="1F3864" w:val="clear"/>
        <w:spacing w:after="160" w:before="320"/>
        <w:ind w:left="200" w:right="200"/>
      </w:pPr>
      <w:r>
        <w:rPr>
          <w:rFonts w:ascii="Arial" w:cs="Arial" w:eastAsia="Arial" w:hAnsi="Arial"/>
          <w:b/>
          <w:bCs/>
          <w:color w:val="FFFFFF"/>
          <w:sz w:val="32"/>
          <w:szCs w:val="32"/>
        </w:rPr>
        <w:t xml:space="preserve">3.  Formal PRISMA Search Strategy</w:t>
      </w:r>
    </w:p>
    <w:p>
      <w:pPr>
        <w:spacing w:after="60" w:before="60"/>
      </w:pPr>
      <w:r>
        <w:t xml:space="preserve"/>
      </w:r>
    </w:p>
    <w:p>
      <w:pPr>
        <w:spacing w:after="100" w:before="80" w:line="280"/>
        <w:jc w:val="both"/>
      </w:pPr>
      <w:r>
        <w:rPr>
          <w:rFonts w:ascii="Arial" w:cs="Arial" w:eastAsia="Arial" w:hAnsi="Arial"/>
          <w:color w:val="000000"/>
          <w:sz w:val="20"/>
          <w:szCs w:val="20"/>
        </w:rPr>
        <w:t xml:space="preserve">The following section documents the planned systematic search strategy across three databases. These queries should be executed in the order listed, with results exported to a reference manager (e.g., Zotero or Mendeley) for deduplication before title/abstract screening begins.</w:t>
      </w:r>
    </w:p>
    <w:p>
      <w:pPr>
        <w:spacing w:after="60" w:before="60"/>
      </w:pPr>
      <w:r>
        <w:t xml:space="preserve"/>
      </w:r>
    </w:p>
    <w:p>
      <w:pPr>
        <w:pBdr>
          <w:left w:val="single" w:color="2E75B6" w:sz="12"/>
        </w:pBdr>
        <w:shd w:fill="E3F2FD" w:val="clear"/>
        <w:spacing w:after="120" w:before="120" w:line="280"/>
        <w:ind w:left="360" w:right="360"/>
      </w:pPr>
      <w:r>
        <w:rPr>
          <w:rFonts w:ascii="Arial" w:cs="Arial" w:eastAsia="Arial" w:hAnsi="Arial"/>
          <w:color w:val="4A4A4A"/>
          <w:sz w:val="20"/>
          <w:szCs w:val="20"/>
        </w:rPr>
        <w:t>Note: The PRISMA flow counts in the manuscript have been updated to align with the seed-set tracker (424 identified → 394 unique → 41 full-text assessed → 17 retained, plus 4 cases). These remain seed-set estimates pending formal database execution; the figures will be refreshed once the formal search is run.ctions in the manuscript, with an explicit footnote or methods note acknowledging that final counts will be reported post-search. Alternatively, this may be framed as a registered systematic review protocol.</w:t>
      </w:r>
    </w:p>
    <w:p>
      <w:pPr>
        <w:spacing w:after="60" w:before="60"/>
      </w:pPr>
      <w:r>
        <w:t xml:space="preserve"/>
      </w:r>
    </w:p>
    <w:p>
      <w:pPr>
        <w:pStyle w:val="Heading2"/>
        <w:pBdr>
          <w:bottom w:val="single" w:color="2E75B6" w:sz="4"/>
        </w:pBdr>
        <w:spacing w:after="120" w:before="280"/>
      </w:pPr>
      <w:r>
        <w:rPr>
          <w:rFonts w:ascii="Arial" w:cs="Arial" w:eastAsia="Arial" w:hAnsi="Arial"/>
          <w:b/>
          <w:bCs/>
          <w:color w:val="1F3864"/>
          <w:sz w:val="26"/>
          <w:szCs w:val="26"/>
        </w:rPr>
        <w:t xml:space="preserve">3.1  Database Search Queries</w:t>
      </w:r>
    </w:p>
    <w:p>
      <w:pPr>
        <w:pStyle w:val="Heading3"/>
        <w:spacing w:after="80" w:before="200"/>
      </w:pPr>
      <w:r>
        <w:rPr>
          <w:rFonts w:ascii="Arial" w:cs="Arial" w:eastAsia="Arial" w:hAnsi="Arial"/>
          <w:b/>
          <w:bCs/>
          <w:color w:val="2E75B6"/>
          <w:sz w:val="22"/>
          <w:szCs w:val="22"/>
        </w:rPr>
        <w:t xml:space="preserve">PubMed / MEDLINE</w:t>
      </w:r>
    </w:p>
    <w:p>
      <w:pPr>
        <w:spacing w:after="100" w:before="80" w:line="280"/>
        <w:jc w:val="both"/>
      </w:pPr>
      <w:r>
        <w:rPr>
          <w:rFonts w:ascii="Arial" w:cs="Arial" w:eastAsia="Arial" w:hAnsi="Arial"/>
          <w:color w:val="000000"/>
          <w:sz w:val="20"/>
          <w:szCs w:val="20"/>
        </w:rPr>
        <w:t xml:space="preserve">Recommended query using MeSH terms and title/abstract fields:</w:t>
      </w:r>
    </w:p>
    <w:p>
      <w:pPr>
        <w:spacing w:after="60" w:before="60"/>
      </w:pPr>
      <w:r>
        <w:t xml:space="preserve"/>
      </w:r>
    </w:p>
    <w:p>
      <w:pPr>
        <w:pBdr>
          <w:left w:val="single" w:color="1F3864" w:sz="8"/>
        </w:pBdr>
        <w:shd w:fill="F5F5F5" w:val="clear"/>
        <w:spacing w:after="100" w:before="100" w:line="260"/>
        <w:ind w:left="360" w:right="360"/>
      </w:pPr>
      <w:r>
        <w:rPr>
          <w:rFonts w:ascii="Courier New" w:cs="Courier New" w:eastAsia="Courier New" w:hAnsi="Courier New"/>
          <w:color w:val="1A1A1A"/>
          <w:sz w:val="17"/>
          <w:szCs w:val="17"/>
        </w:rPr>
        <w:t xml:space="preserve">("electronic health record"[MeSH Terms] OR "electronic health records"[MeSH Terms] OR "medical records systems, computerized"[MeSH Terms] OR "health information exchange"[MeSH Terms] OR "EHR"[Title/Abstract] OR "electronic medical record*"[Title/Abstract] OR "health information exchange"[Title/Abstract] OR "HIE"[Title/Abstract] OR "eHealth"[Title/Abstract] OR "e-health"[Title/Abstract] OR "digital health"[Title/Abstract] OR "health information technology"[Title/Abstract] OR "HIT"[Title/Abstract] OR "interoperability"[Title/Abstract]) AND ("adoption"[Title/Abstract] OR "implementation"[Title/Abstract] OR "acceptance"[Title/Abstract] OR "barrier*"[Title/Abstract] OR "facilitator*"[Title/Abstract] OR "determinant*"[Title/Abstract] OR "success factor*"[Title/Abstract] OR "critical success factor*"[Title/Abstract] OR "uptake"[Title/Abstract]) AND ("2015/01/01"[PDAT] : "2026/12/31"[PDAT])</w:t>
      </w:r>
    </w:p>
    <w:p>
      <w:pPr>
        <w:spacing w:after="60" w:before="60"/>
      </w:pPr>
      <w:r>
        <w:t xml:space="preserve"/>
      </w:r>
    </w:p>
    <w:p>
      <w:pPr>
        <w:spacing w:after="100" w:before="80" w:line="280"/>
        <w:jc w:val="both"/>
      </w:pPr>
      <w:r>
        <w:rPr>
          <w:rFonts w:ascii="Arial" w:cs="Arial" w:eastAsia="Arial" w:hAnsi="Arial"/>
          <w:color w:val="000000"/>
          <w:sz w:val="20"/>
          <w:szCs w:val="20"/>
        </w:rPr>
        <w:t xml:space="preserve">Filters to apply in PubMed interface: Publication type = Journal Article; Language = English. Expected yield: ~1,500–3,500 records.</w:t>
      </w:r>
    </w:p>
    <w:p>
      <w:pPr>
        <w:spacing w:after="60" w:before="60"/>
      </w:pPr>
      <w:r>
        <w:t xml:space="preserve"/>
      </w:r>
    </w:p>
    <w:p>
      <w:pPr>
        <w:pStyle w:val="Heading3"/>
        <w:spacing w:after="80" w:before="200"/>
      </w:pPr>
      <w:r>
        <w:rPr>
          <w:rFonts w:ascii="Arial" w:cs="Arial" w:eastAsia="Arial" w:hAnsi="Arial"/>
          <w:b/>
          <w:bCs/>
          <w:color w:val="2E75B6"/>
          <w:sz w:val="22"/>
          <w:szCs w:val="22"/>
        </w:rPr>
        <w:t xml:space="preserve">IEEE Xplore</w:t>
      </w:r>
    </w:p>
    <w:p>
      <w:pPr>
        <w:spacing w:after="100" w:before="80" w:line="280"/>
        <w:jc w:val="both"/>
      </w:pPr>
      <w:r>
        <w:rPr>
          <w:rFonts w:ascii="Arial" w:cs="Arial" w:eastAsia="Arial" w:hAnsi="Arial"/>
          <w:color w:val="000000"/>
          <w:sz w:val="20"/>
          <w:szCs w:val="20"/>
        </w:rPr>
        <w:t xml:space="preserve">Recommended query using IEEE full-text search:</w:t>
      </w:r>
    </w:p>
    <w:p>
      <w:pPr>
        <w:spacing w:after="60" w:before="60"/>
      </w:pPr>
      <w:r>
        <w:t xml:space="preserve"/>
      </w:r>
    </w:p>
    <w:p>
      <w:pPr>
        <w:pBdr>
          <w:left w:val="single" w:color="1F3864" w:sz="8"/>
        </w:pBdr>
        <w:shd w:fill="F5F5F5" w:val="clear"/>
        <w:spacing w:after="100" w:before="100" w:line="260"/>
        <w:ind w:left="360" w:right="360"/>
      </w:pPr>
      <w:r>
        <w:rPr>
          <w:rFonts w:ascii="Courier New" w:cs="Courier New" w:eastAsia="Courier New" w:hAnsi="Courier New"/>
          <w:color w:val="1A1A1A"/>
          <w:sz w:val="17"/>
          <w:szCs w:val="17"/>
        </w:rPr>
        <w:t xml:space="preserve">("Full Text &amp; Metadata": "electronic health record" OR "EHR" OR "electronic medical record" OR "health information exchange" OR "HIE" OR "eHealth" OR "e-health" OR "digital health" OR "health information technology" OR "interoperability") AND ("Full Text &amp; Metadata": "adoption" OR "implementation" OR "acceptance" OR "barriers" OR "facilitators" OR "determinants" OR "success factors" OR "uptake") AND (Publication Year: 2015 to 2026)</w:t>
      </w:r>
    </w:p>
    <w:p>
      <w:pPr>
        <w:spacing w:after="60" w:before="60"/>
      </w:pPr>
      <w:r>
        <w:t xml:space="preserve"/>
      </w:r>
    </w:p>
    <w:p>
      <w:pPr>
        <w:spacing w:after="100" w:before="80" w:line="280"/>
        <w:jc w:val="both"/>
      </w:pPr>
      <w:r>
        <w:rPr>
          <w:rFonts w:ascii="Arial" w:cs="Arial" w:eastAsia="Arial" w:hAnsi="Arial"/>
          <w:color w:val="000000"/>
          <w:sz w:val="20"/>
          <w:szCs w:val="20"/>
        </w:rPr>
        <w:t xml:space="preserve">Filter to: Journals and Conference Papers only. Expected yield: ~300–800 records.</w:t>
      </w:r>
    </w:p>
    <w:p>
      <w:pPr>
        <w:spacing w:after="60" w:before="60"/>
      </w:pPr>
      <w:r>
        <w:t xml:space="preserve"/>
      </w:r>
    </w:p>
    <w:p>
      <w:pPr>
        <w:pStyle w:val="Heading3"/>
        <w:spacing w:after="80" w:before="200"/>
      </w:pPr>
      <w:r>
        <w:rPr>
          <w:rFonts w:ascii="Arial" w:cs="Arial" w:eastAsia="Arial" w:hAnsi="Arial"/>
          <w:b/>
          <w:bCs/>
          <w:color w:val="2E75B6"/>
          <w:sz w:val="22"/>
          <w:szCs w:val="22"/>
        </w:rPr>
        <w:t xml:space="preserve">Scopus</w:t>
      </w:r>
    </w:p>
    <w:p>
      <w:pPr>
        <w:spacing w:after="100" w:before="80" w:line="280"/>
        <w:jc w:val="both"/>
      </w:pPr>
      <w:r>
        <w:rPr>
          <w:rFonts w:ascii="Arial" w:cs="Arial" w:eastAsia="Arial" w:hAnsi="Arial"/>
          <w:color w:val="000000"/>
          <w:sz w:val="20"/>
          <w:szCs w:val="20"/>
        </w:rPr>
        <w:t xml:space="preserve">Recommended query using TITLE-ABS-KEY field search:</w:t>
      </w:r>
    </w:p>
    <w:p>
      <w:pPr>
        <w:spacing w:after="60" w:before="60"/>
      </w:pPr>
      <w:r>
        <w:t xml:space="preserve"/>
      </w:r>
    </w:p>
    <w:p>
      <w:pPr>
        <w:pBdr>
          <w:left w:val="single" w:color="1F3864" w:sz="8"/>
        </w:pBdr>
        <w:shd w:fill="F5F5F5" w:val="clear"/>
        <w:spacing w:after="100" w:before="100" w:line="260"/>
        <w:ind w:left="360" w:right="360"/>
      </w:pPr>
      <w:r>
        <w:rPr>
          <w:rFonts w:ascii="Courier New" w:cs="Courier New" w:eastAsia="Courier New" w:hAnsi="Courier New"/>
          <w:color w:val="1A1A1A"/>
          <w:sz w:val="17"/>
          <w:szCs w:val="17"/>
        </w:rPr>
        <w:t xml:space="preserve">TITLE-ABS-KEY ( "electronic health record" OR "EHR" OR "electronic medical record" OR "health information exchange" OR "HIE" OR "eHealth" OR "e-health" OR "digital health" OR "health information technology" OR "interoperability" ) AND TITLE-ABS-KEY ( "adoption" OR "implementation" OR "acceptance" OR "barriers" OR "facilitators" OR "determinants" OR "success factors" OR "uptake" ) AND PUBYEAR &gt; 2014 AND PUBYEAR &lt; 2027 AND DOCTYPE ( ar OR re ) AND LANGUAGE ( english )</w:t>
      </w:r>
    </w:p>
    <w:p>
      <w:pPr>
        <w:spacing w:after="60" w:before="60"/>
      </w:pPr>
      <w:r>
        <w:t xml:space="preserve"/>
      </w:r>
    </w:p>
    <w:p>
      <w:pPr>
        <w:spacing w:after="100" w:before="80" w:line="280"/>
        <w:jc w:val="both"/>
      </w:pPr>
      <w:r>
        <w:rPr>
          <w:rFonts w:ascii="Arial" w:cs="Arial" w:eastAsia="Arial" w:hAnsi="Arial"/>
          <w:color w:val="000000"/>
          <w:sz w:val="20"/>
          <w:szCs w:val="20"/>
        </w:rPr>
        <w:t xml:space="preserve">Limit to: Article (ar) and Review (re) document types; English language. Expected yield: ~1,200–2,500 records.</w:t>
      </w:r>
    </w:p>
    <w:p>
      <w:pPr>
        <w:spacing w:after="60" w:before="60"/>
      </w:pPr>
      <w:r>
        <w:t xml:space="preserve"/>
      </w:r>
    </w:p>
    <w:p>
      <w:pPr>
        <w:spacing w:after="60" w:before="60"/>
      </w:pPr>
      <w:r>
        <w:t xml:space="preserve"/>
      </w:r>
    </w:p>
    <w:p>
      <w:pPr>
        <w:pStyle w:val="Heading2"/>
        <w:pBdr>
          <w:bottom w:val="single" w:color="2E75B6" w:sz="4"/>
        </w:pBdr>
        <w:spacing w:after="120" w:before="280"/>
      </w:pPr>
      <w:r>
        <w:rPr>
          <w:rFonts w:ascii="Arial" w:cs="Arial" w:eastAsia="Arial" w:hAnsi="Arial"/>
          <w:b/>
          <w:bCs/>
          <w:color w:val="1F3864"/>
          <w:sz w:val="26"/>
          <w:szCs w:val="26"/>
        </w:rPr>
        <w:t xml:space="preserve">3.2  Projected PRISMA Flow</w:t>
      </w:r>
    </w:p>
    <w:p>
      <w:pPr>
        <w:spacing w:after="60" w:before="60"/>
      </w:pPr>
      <w:r>
        <w:t xml:space="preserve"/>
      </w:r>
    </w:p>
    <w:p>
      <w:pPr>
        <w:spacing w:after="100" w:before="80" w:line="280"/>
        <w:jc w:val="both"/>
      </w:pPr>
      <w:r>
        <w:rPr>
          <w:rFonts w:ascii="Arial" w:cs="Arial" w:eastAsia="Arial" w:hAnsi="Arial"/>
          <w:color w:val="000000"/>
          <w:sz w:val="20"/>
          <w:szCs w:val="20"/>
        </w:rPr>
        <w:t xml:space="preserve">Based on typical search yields in health informatics systematic reviews, the following PRISMA flow is projected: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PRISMA Stage</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b/>
                <w:bCs/>
                <w:color w:val="FFFFFF"/>
                <w:sz w:val="18"/>
                <w:szCs w:val="18"/>
              </w:rPr>
              <w:t xml:space="preserve">Projected Count</w:t>
            </w:r>
          </w:p>
        </w:tc>
        <w:tc>
          <w:tcPr>
            <w:tcW w:type="dxa" w:w="4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PubMed records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~2,000</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MeSH + keyword search, 2015–2026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IEEE Xplore records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val="false"/>
                <w:bCs w:val="false"/>
                <w:color w:val="000000"/>
                <w:sz w:val="18"/>
                <w:szCs w:val="18"/>
              </w:rPr>
              <w:t xml:space="preserve">~500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Full-text search, journals + conferences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Scopus records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~1,800</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Title-abstract-keyword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bCs/>
                <w:color w:val="000000"/>
                <w:sz w:val="18"/>
                <w:szCs w:val="18"/>
              </w:rPr>
              <w:t xml:space="preserve">Total identified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bCs/>
                <w:color w:val="000000"/>
                <w:sz w:val="18"/>
                <w:szCs w:val="18"/>
              </w:rPr>
              <w:t xml:space="preserve">~4,300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Prior to deduplication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After deduplication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~2,800</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~35% duplication rate typical across these three databases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Title/abstract screening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val="false"/>
                <w:bCs w:val="false"/>
                <w:color w:val="000000"/>
                <w:sz w:val="18"/>
                <w:szCs w:val="18"/>
              </w:rPr>
              <w:t xml:space="preserve">~2,800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Apply inclusion/exclusion criteria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Excluded at T/A screening</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~2,450</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Not adoption-focused, not eHealth/HIT, opinion-only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Full-text retrieved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val="false"/>
                <w:bCs w:val="false"/>
                <w:color w:val="000000"/>
                <w:sz w:val="18"/>
                <w:szCs w:val="18"/>
              </w:rPr>
              <w:t xml:space="preserve">~350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All passing T/A screening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Excluded at full-text</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~220</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Technical-only (no adoption determinants), duplicate findings, out-of-scope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bCs/>
                <w:color w:val="000000"/>
                <w:sz w:val="18"/>
                <w:szCs w:val="18"/>
              </w:rPr>
              <w:t xml:space="preserve">Included in synthesis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bCs/>
                <w:color w:val="000000"/>
                <w:sz w:val="18"/>
                <w:szCs w:val="18"/>
              </w:rPr>
              <w:t xml:space="preserve">~130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Literature sources + case documentation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bCs/>
                <w:color w:val="000000"/>
                <w:sz w:val="18"/>
                <w:szCs w:val="18"/>
              </w:rPr>
              <w:t xml:space="preserve">Case studies (public docs)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bCs/>
                <w:color w:val="000000"/>
                <w:sz w:val="18"/>
                <w:szCs w:val="18"/>
              </w:rPr>
              <w:t xml:space="preserve">4</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ONC, NHS, Estonia, VA/DoD — purposively selected</w:t>
            </w:r>
          </w:p>
        </w:tc>
      </w:tr>
    </w:tbl>
    <w:p>
      <w:pPr>
        <w:spacing w:after="60" w:before="60"/>
      </w:pPr>
      <w:r>
        <w:t xml:space="preserve"/>
      </w:r>
    </w:p>
    <w:p>
      <w:pPr>
        <w:spacing w:after="60" w:before="60"/>
      </w:pPr>
      <w:r>
        <w:t xml:space="preserve"/>
      </w:r>
    </w:p>
    <w:p>
      <w:pPr>
        <w:pStyle w:val="Heading2"/>
        <w:pBdr>
          <w:bottom w:val="single" w:color="2E75B6" w:sz="4"/>
        </w:pBdr>
        <w:spacing w:after="120" w:before="280"/>
      </w:pPr>
      <w:r>
        <w:rPr>
          <w:rFonts w:ascii="Arial" w:cs="Arial" w:eastAsia="Arial" w:hAnsi="Arial"/>
          <w:b/>
          <w:bCs/>
          <w:color w:val="1F3864"/>
          <w:sz w:val="26"/>
          <w:szCs w:val="26"/>
        </w:rPr>
        <w:t xml:space="preserve">3.3  Inclusion / Exclusion Criteria (Formalized)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Type</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Inclusion Criteria</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Exclusion Criteria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bCs/>
                <w:color w:val="000000"/>
                <w:sz w:val="18"/>
                <w:szCs w:val="18"/>
              </w:rPr>
              <w:t xml:space="preserve">Study Design</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Peer-reviewed empirical studies; systematic reviews; scoping reviews; umbrella reviews; framework or model papers; government / institutional reports with empirical basis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Opinion editorials; letters; conference abstracts without full methodology; book chapters without primary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bCs/>
                <w:color w:val="000000"/>
                <w:sz w:val="18"/>
                <w:szCs w:val="18"/>
              </w:rPr>
              <w:t xml:space="preserve">Topic</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eHealth, EHR, EMR, PHR, HIE, HIT, digital health, health informatics — adoption, implementation, barriers, facilitators, determinants, success factors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Non-healthcare IT systems; general IS adoption papers without healthcare context; purely technical papers without adoption outcomes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bCs/>
                <w:color w:val="000000"/>
                <w:sz w:val="18"/>
                <w:szCs w:val="18"/>
              </w:rPr>
              <w:t xml:space="preserve">Date</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January 2015 – December 2026</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Published before 2015 (except foundational theory papers retained as background references)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bCs/>
                <w:color w:val="000000"/>
                <w:sz w:val="18"/>
                <w:szCs w:val="18"/>
              </w:rPr>
              <w:t xml:space="preserve">Language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English language publications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Non-English publications (language bias limitation acknowledged)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bCs/>
                <w:color w:val="000000"/>
                <w:sz w:val="18"/>
                <w:szCs w:val="18"/>
              </w:rPr>
              <w:t xml:space="preserve">Data</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Publicly available, de-identified data; institutional reports without PHI; government audit reports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Studies involving primary collection of identifiable human subject data; clinical trial data; patient records</w:t>
            </w:r>
          </w:p>
        </w:tc>
      </w:tr>
    </w:tbl>
    <w:p>
      <w:pPr>
        <w:spacing w:after="60" w:before="60"/>
      </w:pPr>
      <w:r>
        <w:t xml:space="preserve"/>
      </w:r>
    </w:p>
    <w:p>
      <w:r>
        <w:br w:type="page"/>
      </w:r>
    </w:p>
    <w:p>
      <w:pPr>
        <w:pStyle w:val="Heading1"/>
        <w:shd w:fill="1F3864" w:val="clear"/>
        <w:spacing w:after="160" w:before="320"/>
        <w:ind w:left="200" w:right="200"/>
      </w:pPr>
      <w:r>
        <w:rPr>
          <w:rFonts w:ascii="Arial" w:cs="Arial" w:eastAsia="Arial" w:hAnsi="Arial"/>
          <w:b/>
          <w:bCs/>
          <w:color w:val="FFFFFF"/>
          <w:sz w:val="32"/>
          <w:szCs w:val="32"/>
        </w:rPr>
        <w:t xml:space="preserve">4.  Target Journal Recommendations</w:t>
      </w:r>
    </w:p>
    <w:p>
      <w:pPr>
        <w:spacing w:after="60" w:before="60"/>
      </w:pPr>
      <w:r>
        <w:t xml:space="preserve"/>
      </w:r>
    </w:p>
    <w:p>
      <w:pPr>
        <w:spacing w:after="100" w:before="80" w:line="280"/>
        <w:jc w:val="both"/>
      </w:pPr>
      <w:r>
        <w:rPr>
          <w:rFonts w:ascii="Arial" w:cs="Arial" w:eastAsia="Arial" w:hAnsi="Arial"/>
          <w:color w:val="000000"/>
          <w:sz w:val="20"/>
          <w:szCs w:val="20"/>
        </w:rPr>
        <w:t xml:space="preserve">The following journals are recommended based on: (1) fit with the study's mixed-methods systematic review design; (2) focus on health informatics, eHealth, and HIT; (3) no mandatory article processing charges (APC) — authors publish at no cost under the traditional subscription model unless they choose open access.</w:t>
      </w:r>
    </w:p>
    <w:p>
      <w:pPr>
        <w:spacing w:after="60" w:before="60"/>
      </w:pPr>
      <w:r>
        <w:t xml:space="preserve"/>
      </w:r>
    </w:p>
    <w:p>
      <w:pPr>
        <w:pBdr>
          <w:left w:val="single" w:color="2E75B6" w:sz="12"/>
        </w:pBdr>
        <w:shd w:fill="E3F2FD" w:val="clear"/>
        <w:spacing w:after="120" w:before="120" w:line="280"/>
        <w:ind w:left="360" w:right="360"/>
      </w:pPr>
      <w:r>
        <w:rPr>
          <w:rFonts w:ascii="Arial" w:cs="Arial" w:eastAsia="Arial" w:hAnsi="Arial"/>
          <w:color w:val="4A4A4A"/>
          <w:sz w:val="20"/>
          <w:szCs w:val="20"/>
        </w:rPr>
        <w:t xml:space="preserve">All journals below use the traditional subscription model, meaning there is no mandatory publication fee. Authors may optionally pay for open access, but this is not required for publication.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900"/>
        <w:gridCol w:w="1600"/>
        <w:gridCol w:w="24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Journal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Publisher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b/>
                <w:bCs/>
                <w:color w:val="FFFFFF"/>
                <w:sz w:val="18"/>
                <w:szCs w:val="18"/>
              </w:rPr>
              <w:t xml:space="preserve">Impact Factor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Article Type</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Fit Assessment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bCs/>
                <w:color w:val="000000"/>
                <w:sz w:val="18"/>
                <w:szCs w:val="18"/>
              </w:rPr>
              <w:t xml:space="preserve">International Journal of Medical Informatics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Elsevier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~5.0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Systematic Review, Framework</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EXCELLENT — publishes systematic reviews and adoption frameworks in eHealth; your study fits squarely in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bCs/>
                <w:color w:val="000000"/>
                <w:sz w:val="18"/>
                <w:szCs w:val="18"/>
              </w:rPr>
              <w:t xml:space="preserve">Health Informatics Journal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SAGE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val="false"/>
                <w:bCs w:val="false"/>
                <w:color w:val="000000"/>
                <w:sz w:val="18"/>
                <w:szCs w:val="18"/>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Mixed-Methods, Review</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EXCELLENT — explicitly targets mixed-methods HIT research; highly accessible to practice-oriented scholars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bCs/>
                <w:color w:val="000000"/>
                <w:sz w:val="18"/>
                <w:szCs w:val="18"/>
              </w:rPr>
              <w:t xml:space="preserve">Applied Clinical Informatics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Thieme / AMIA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Review, Framework Paper</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GOOD — AMIA-affiliated; focus on clinical practice-relevant informatics; strong fit for practitioner implications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bCs/>
                <w:color w:val="000000"/>
                <w:sz w:val="18"/>
                <w:szCs w:val="18"/>
              </w:rPr>
              <w:t xml:space="preserve">Journal of Biomedical Informatics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Elsevier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val="false"/>
                <w:bCs w:val="false"/>
                <w:color w:val="000000"/>
                <w:sz w:val="18"/>
                <w:szCs w:val="18"/>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Systematic Review, Methods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GOOD — methods-strong journal; U-T-I-O model as framework contribution is well-suited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bCs/>
                <w:color w:val="000000"/>
                <w:sz w:val="18"/>
                <w:szCs w:val="18"/>
              </w:rPr>
              <w:t xml:space="preserve">Methods of Information in Medicine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Thieme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~2.8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Systematic Review, Methods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MODERATE — more methods-focused; suitable if emphasizing PRISMA methodology as primary contribution</w:t>
            </w:r>
          </w:p>
        </w:tc>
      </w:tr>
    </w:tbl>
    <w:p>
      <w:pPr>
        <w:spacing w:after="60" w:before="60"/>
      </w:pPr>
      <w:r>
        <w:t xml:space="preserve"/>
      </w:r>
    </w:p>
    <w:p>
      <w:pPr>
        <w:spacing w:after="60" w:before="60"/>
      </w:pPr>
      <w:r>
        <w:t xml:space="preserve"/>
      </w:r>
    </w:p>
    <w:p>
      <w:pPr>
        <w:pStyle w:val="Heading2"/>
        <w:pBdr>
          <w:bottom w:val="single" w:color="2E75B6" w:sz="4"/>
        </w:pBdr>
        <w:spacing w:after="120" w:before="280"/>
      </w:pPr>
      <w:r>
        <w:rPr>
          <w:rFonts w:ascii="Arial" w:cs="Arial" w:eastAsia="Arial" w:hAnsi="Arial"/>
          <w:b/>
          <w:bCs/>
          <w:color w:val="1F3864"/>
          <w:sz w:val="26"/>
          <w:szCs w:val="26"/>
        </w:rPr>
        <w:t xml:space="preserve">4.1  Top Recommendation: International Journal of Medical Informatics</w:t>
      </w:r>
    </w:p>
    <w:p>
      <w:pPr>
        <w:spacing w:after="60" w:before="60"/>
      </w:pPr>
      <w:r>
        <w:t xml:space="preserve"/>
      </w:r>
    </w:p>
    <w:p>
      <w:pPr>
        <w:spacing w:after="100" w:before="80" w:line="280"/>
        <w:jc w:val="both"/>
      </w:pPr>
      <w:r>
        <w:rPr>
          <w:rFonts w:ascii="Arial" w:cs="Arial" w:eastAsia="Arial" w:hAnsi="Arial"/>
          <w:color w:val="000000"/>
          <w:sz w:val="20"/>
          <w:szCs w:val="20"/>
        </w:rPr>
        <w:t xml:space="preserve">IJMI is the strongest strategic choice for this manuscript for several reasons:</w:t>
      </w:r>
    </w:p>
    <w:p>
      <w:pPr>
        <w:pStyle w:val="ListParagraph"/>
        <w:numPr>
          <w:ilvl w:val="0"/>
          <w:numId w:val="2"/>
        </w:numPr>
        <w:spacing w:after="40" w:before="40" w:line="260"/>
      </w:pPr>
      <w:r>
        <w:rPr>
          <w:rFonts w:ascii="Arial" w:cs="Arial" w:eastAsia="Arial" w:hAnsi="Arial"/>
          <w:b w:val="false"/>
          <w:bCs w:val="false"/>
          <w:sz w:val="20"/>
          <w:szCs w:val="20"/>
        </w:rPr>
        <w:t xml:space="preserve">The journal has published several of the studies cited in this paper (Fennelly et al. 2020, Bitar et al. 2023), establishing disciplinary alignment</w:t>
      </w:r>
    </w:p>
    <w:p>
      <w:pPr>
        <w:pStyle w:val="ListParagraph"/>
        <w:numPr>
          <w:ilvl w:val="0"/>
          <w:numId w:val="2"/>
        </w:numPr>
        <w:spacing w:after="40" w:before="40" w:line="260"/>
      </w:pPr>
      <w:r>
        <w:rPr>
          <w:rFonts w:ascii="Arial" w:cs="Arial" w:eastAsia="Arial" w:hAnsi="Arial"/>
          <w:b w:val="false"/>
          <w:bCs w:val="false"/>
          <w:sz w:val="20"/>
          <w:szCs w:val="20"/>
        </w:rPr>
        <w:t xml:space="preserve">IJMI explicitly publishes systematic reviews, umbrella reviews, and framework papers on EHR and eHealth adoption</w:t>
      </w:r>
    </w:p>
    <w:p>
      <w:pPr>
        <w:pStyle w:val="ListParagraph"/>
        <w:numPr>
          <w:ilvl w:val="0"/>
          <w:numId w:val="2"/>
        </w:numPr>
        <w:spacing w:after="40" w:before="40" w:line="260"/>
      </w:pPr>
      <w:r>
        <w:rPr>
          <w:rFonts w:ascii="Arial" w:cs="Arial" w:eastAsia="Arial" w:hAnsi="Arial"/>
          <w:b w:val="false"/>
          <w:bCs w:val="false"/>
          <w:sz w:val="20"/>
          <w:szCs w:val="20"/>
        </w:rPr>
        <w:t xml:space="preserve">The journal's readership — health informaticists, HIT implementers, and policy researchers — is precisely the audience for the U-T-I-O model</w:t>
      </w:r>
    </w:p>
    <w:p>
      <w:pPr>
        <w:pStyle w:val="ListParagraph"/>
        <w:numPr>
          <w:ilvl w:val="0"/>
          <w:numId w:val="2"/>
        </w:numPr>
        <w:spacing w:after="40" w:before="40" w:line="260"/>
      </w:pPr>
      <w:r>
        <w:rPr>
          <w:rFonts w:ascii="Arial" w:cs="Arial" w:eastAsia="Arial" w:hAnsi="Arial"/>
          <w:b w:val="false"/>
          <w:bCs w:val="false"/>
          <w:sz w:val="20"/>
          <w:szCs w:val="20"/>
        </w:rPr>
        <w:t xml:space="preserve">No mandatory APC; standard submission is free; impact factor makes it a high-value target</w:t>
      </w:r>
    </w:p>
    <w:p>
      <w:pPr>
        <w:pStyle w:val="ListParagraph"/>
        <w:numPr>
          <w:ilvl w:val="0"/>
          <w:numId w:val="2"/>
        </w:numPr>
        <w:spacing w:after="40" w:before="40" w:line="260"/>
      </w:pPr>
      <w:r>
        <w:rPr>
          <w:rFonts w:ascii="Arial" w:cs="Arial" w:eastAsia="Arial" w:hAnsi="Arial"/>
          <w:b w:val="false"/>
          <w:bCs w:val="false"/>
          <w:sz w:val="20"/>
          <w:szCs w:val="20"/>
        </w:rPr>
        <w:t>Word limit (IJMI Reviews/qualitative-studies article type): 4,000 words for the full text, 300 for the abstract, max 4 tables, max 3 figures, plus a 2–4 bullet Summary Table — see IJMI author guidelines for the full list of constraints.</w:t>
      </w:r>
    </w:p>
    <w:p>
      <w:pPr>
        <w:spacing w:after="60" w:before="60"/>
      </w:pPr>
      <w:r>
        <w:t xml:space="preserve"/>
      </w:r>
    </w:p>
    <w:p>
      <w:pPr>
        <w:pBdr>
          <w:left w:val="single" w:color="C55A11" w:sz="12"/>
        </w:pBdr>
        <w:shd w:fill="FFF3CD" w:val="clear"/>
        <w:spacing w:after="120" w:before="120" w:line="280"/>
        <w:ind w:left="360" w:right="360"/>
      </w:pPr>
      <w:r>
        <w:rPr>
          <w:rFonts w:ascii="Arial" w:cs="Arial" w:eastAsia="Arial" w:hAnsi="Arial"/>
          <w:color w:val="4A4A4A"/>
          <w:sz w:val="20"/>
          <w:szCs w:val="20"/>
        </w:rPr>
        <w:t xml:space="preserve">Action required: Review IJMI's author guidelines (https://www.sciencedirect.com/journal/international-journal-of-medical-informatics/about/guide-for-authors) and confirm: (1) structured abstract format, (2) maximum word count, (3) required PRISMA checklist attachment, (4) CRediT authorship taxonomy statement.</w:t>
      </w:r>
    </w:p>
    <w:p>
      <w:pPr>
        <w:spacing w:after="60" w:before="60"/>
      </w:pPr>
      <w:r>
        <w:t xml:space="preserve"/>
      </w:r>
    </w:p>
    <w:p>
      <w:pPr>
        <w:spacing w:after="60" w:before="60"/>
      </w:pPr>
      <w:r>
        <w:t xml:space="preserve"/>
      </w:r>
    </w:p>
    <w:p>
      <w:pPr>
        <w:pStyle w:val="Heading2"/>
        <w:pBdr>
          <w:bottom w:val="single" w:color="2E75B6" w:sz="4"/>
        </w:pBdr>
        <w:spacing w:after="120" w:before="280"/>
      </w:pPr>
      <w:r>
        <w:rPr>
          <w:rFonts w:ascii="Arial" w:cs="Arial" w:eastAsia="Arial" w:hAnsi="Arial"/>
          <w:b/>
          <w:bCs/>
          <w:color w:val="1F3864"/>
          <w:sz w:val="26"/>
          <w:szCs w:val="26"/>
        </w:rPr>
        <w:t xml:space="preserve">4.2  Submission Preparation Requirements</w:t>
      </w:r>
    </w:p>
    <w:p>
      <w:pPr>
        <w:spacing w:after="60" w:before="60"/>
      </w:pPr>
      <w:r>
        <w:t xml:space="preserve"/>
      </w:r>
    </w:p>
    <w:p>
      <w:pPr>
        <w:spacing w:after="100" w:before="80" w:line="280"/>
        <w:jc w:val="both"/>
      </w:pPr>
      <w:r>
        <w:rPr>
          <w:rFonts w:ascii="Arial" w:cs="Arial" w:eastAsia="Arial" w:hAnsi="Arial"/>
          <w:color w:val="000000"/>
          <w:sz w:val="20"/>
          <w:szCs w:val="20"/>
        </w:rPr>
        <w:t xml:space="preserve">Regardless of journal, the following materials are typically required for a systematic review submission:</w:t>
      </w:r>
    </w:p>
    <w:p>
      <w:pPr>
        <w:pStyle w:val="ListParagraph"/>
        <w:numPr>
          <w:ilvl w:val="0"/>
          <w:numId w:val="2"/>
        </w:numPr>
        <w:spacing w:after="40" w:before="40" w:line="260"/>
      </w:pPr>
      <w:r>
        <w:rPr>
          <w:rFonts w:ascii="Arial" w:cs="Arial" w:eastAsia="Arial" w:hAnsi="Arial"/>
          <w:b w:val="false"/>
          <w:bCs w:val="false"/>
          <w:sz w:val="20"/>
          <w:szCs w:val="20"/>
        </w:rPr>
        <w:t xml:space="preserve">Manuscript (main document, double-spaced, anonymized if double-blind)</w:t>
      </w:r>
    </w:p>
    <w:p>
      <w:pPr>
        <w:pStyle w:val="ListParagraph"/>
        <w:numPr>
          <w:ilvl w:val="0"/>
          <w:numId w:val="2"/>
        </w:numPr>
        <w:spacing w:after="40" w:before="40" w:line="260"/>
      </w:pPr>
      <w:r>
        <w:rPr>
          <w:rFonts w:ascii="Arial" w:cs="Arial" w:eastAsia="Arial" w:hAnsi="Arial"/>
          <w:b w:val="false"/>
          <w:bCs w:val="false"/>
          <w:sz w:val="20"/>
          <w:szCs w:val="20"/>
        </w:rPr>
        <w:t xml:space="preserve">PRISMA 2020 Checklist (complete the checklist PDF from prisma-statement.org)</w:t>
      </w:r>
    </w:p>
    <w:p>
      <w:pPr>
        <w:pStyle w:val="ListParagraph"/>
        <w:numPr>
          <w:ilvl w:val="0"/>
          <w:numId w:val="2"/>
        </w:numPr>
        <w:spacing w:after="40" w:before="40" w:line="260"/>
      </w:pPr>
      <w:r>
        <w:rPr>
          <w:rFonts w:ascii="Arial" w:cs="Arial" w:eastAsia="Arial" w:hAnsi="Arial"/>
          <w:b w:val="false"/>
          <w:bCs w:val="false"/>
          <w:sz w:val="20"/>
          <w:szCs w:val="20"/>
        </w:rPr>
        <w:t xml:space="preserve">PRISMA 2020 Flow Diagram (the TikZ diagram in your repository should render as a figure)</w:t>
      </w:r>
    </w:p>
    <w:p>
      <w:pPr>
        <w:pStyle w:val="ListParagraph"/>
        <w:numPr>
          <w:ilvl w:val="0"/>
          <w:numId w:val="2"/>
        </w:numPr>
        <w:spacing w:after="40" w:before="40" w:line="260"/>
      </w:pPr>
      <w:r>
        <w:rPr>
          <w:rFonts w:ascii="Arial" w:cs="Arial" w:eastAsia="Arial" w:hAnsi="Arial"/>
          <w:b w:val="false"/>
          <w:bCs w:val="false"/>
          <w:sz w:val="20"/>
          <w:szCs w:val="20"/>
        </w:rPr>
        <w:t xml:space="preserve">Cover letter (introduce the study, state its contribution, confirm no concurrent submission)</w:t>
      </w:r>
    </w:p>
    <w:p>
      <w:pPr>
        <w:pStyle w:val="ListParagraph"/>
        <w:numPr>
          <w:ilvl w:val="0"/>
          <w:numId w:val="2"/>
        </w:numPr>
        <w:spacing w:after="40" w:before="40" w:line="260"/>
      </w:pPr>
      <w:r>
        <w:rPr>
          <w:rFonts w:ascii="Arial" w:cs="Arial" w:eastAsia="Arial" w:hAnsi="Arial"/>
          <w:b w:val="false"/>
          <w:bCs w:val="false"/>
          <w:sz w:val="20"/>
          <w:szCs w:val="20"/>
        </w:rPr>
        <w:t xml:space="preserve">Author information page (separated from main manuscript if double-blind review)</w:t>
      </w:r>
    </w:p>
    <w:p>
      <w:pPr>
        <w:pStyle w:val="ListParagraph"/>
        <w:numPr>
          <w:ilvl w:val="0"/>
          <w:numId w:val="2"/>
        </w:numPr>
        <w:spacing w:after="40" w:before="40" w:line="260"/>
      </w:pPr>
      <w:r>
        <w:rPr>
          <w:rFonts w:ascii="Arial" w:cs="Arial" w:eastAsia="Arial" w:hAnsi="Arial"/>
          <w:b w:val="false"/>
          <w:bCs w:val="false"/>
          <w:sz w:val="20"/>
          <w:szCs w:val="20"/>
        </w:rPr>
        <w:t xml:space="preserve">Conflict of interest statement</w:t>
      </w:r>
    </w:p>
    <w:p>
      <w:pPr>
        <w:pStyle w:val="ListParagraph"/>
        <w:numPr>
          <w:ilvl w:val="0"/>
          <w:numId w:val="2"/>
        </w:numPr>
        <w:spacing w:after="40" w:before="40" w:line="260"/>
      </w:pPr>
      <w:r>
        <w:rPr>
          <w:rFonts w:ascii="Arial" w:cs="Arial" w:eastAsia="Arial" w:hAnsi="Arial"/>
          <w:b w:val="false"/>
          <w:bCs w:val="false"/>
          <w:sz w:val="20"/>
          <w:szCs w:val="20"/>
        </w:rPr>
        <w:t xml:space="preserve">Data availability statement (state that all sources are publicly available)</w:t>
      </w:r>
    </w:p>
    <w:p>
      <w:pPr>
        <w:pStyle w:val="ListParagraph"/>
        <w:numPr>
          <w:ilvl w:val="0"/>
          <w:numId w:val="2"/>
        </w:numPr>
        <w:spacing w:after="40" w:before="40" w:line="260"/>
      </w:pPr>
      <w:r>
        <w:rPr>
          <w:rFonts w:ascii="Arial" w:cs="Arial" w:eastAsia="Arial" w:hAnsi="Arial"/>
          <w:b w:val="false"/>
          <w:bCs w:val="false"/>
          <w:sz w:val="20"/>
          <w:szCs w:val="20"/>
        </w:rPr>
        <w:t xml:space="preserve">Ethics statement (IRB not required; include the compliance section from your manuscript)</w:t>
      </w:r>
    </w:p>
    <w:p>
      <w:pPr>
        <w:spacing w:after="60" w:before="60"/>
      </w:pPr>
      <w:r>
        <w:t xml:space="preserve"/>
      </w:r>
    </w:p>
    <w:p>
      <w:r>
        <w:br w:type="page"/>
      </w:r>
    </w:p>
    <w:p>
      <w:pPr>
        <w:pStyle w:val="Heading1"/>
        <w:shd w:fill="1F3864" w:val="clear"/>
        <w:spacing w:after="160" w:before="320"/>
        <w:ind w:left="200" w:right="200"/>
      </w:pPr>
      <w:r>
        <w:rPr>
          <w:rFonts w:ascii="Arial" w:cs="Arial" w:eastAsia="Arial" w:hAnsi="Arial"/>
          <w:b/>
          <w:bCs/>
          <w:color w:val="FFFFFF"/>
          <w:sz w:val="32"/>
          <w:szCs w:val="32"/>
        </w:rPr>
        <w:t xml:space="preserve">5.  Prioritized Action Plan</w:t>
      </w:r>
    </w:p>
    <w:p>
      <w:pPr>
        <w:spacing w:after="60" w:before="60"/>
      </w:pPr>
      <w:r>
        <w:t xml:space="preserve"/>
      </w:r>
    </w:p>
    <w:p>
      <w:pPr>
        <w:spacing w:after="100" w:before="80" w:line="280"/>
        <w:jc w:val="both"/>
      </w:pPr>
      <w:r>
        <w:rPr>
          <w:rFonts w:ascii="Arial" w:cs="Arial" w:eastAsia="Arial" w:hAnsi="Arial"/>
          <w:color w:val="000000"/>
          <w:sz w:val="20"/>
          <w:szCs w:val="20"/>
        </w:rPr>
        <w:t xml:space="preserve">The following action plan organizes all remaining tasks by priority. Priority 1 items are submission-blockers. Priority 2 items are required for quality but less urgent. Priority 3 items are optional improvements.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60"/>
        <w:gridCol w:w="1300"/>
        <w:gridCol w:w="310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b/>
                <w:bCs/>
                <w:color w:val="FFFFFF"/>
                <w:sz w:val="18"/>
                <w:szCs w:val="18"/>
              </w:rPr>
              <w:t xml:space="preserve">P</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Action Item</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b/>
                <w:bCs/>
                <w:color w:val="FFFFFF"/>
                <w:sz w:val="18"/>
                <w:szCs w:val="18"/>
              </w:rPr>
              <w:t xml:space="preserve">Effort</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Notes</w:t>
            </w:r>
          </w:p>
        </w:tc>
      </w:tr>
      <w:tr>
        <w:tc>
          <w:tcPr>
            <w:tcW w:type="dxa" w:w="5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Expand Introduction section (1 paragraph → 600–900 words)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val="false"/>
                <w:bCs w:val="false"/>
                <w:color w:val="000000"/>
                <w:sz w:val="18"/>
                <w:szCs w:val="18"/>
              </w:rPr>
              <w:t xml:space="preserve">2–3 hrs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Must establish context, gap, objectives, and roadmap</w:t>
            </w:r>
          </w:p>
        </w:tc>
      </w:tr>
      <w:tr>
        <w:tc>
          <w:tcPr>
            <w:tcW w:type="dxa" w:w="5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Expand Background &amp; Theoretical Foundation (2 sentences → 700–1,000 words)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2–3 hrs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Develop DeLone &amp; McLean, TOE, and U-T-I-O synthesis fully</w:t>
            </w:r>
          </w:p>
        </w:tc>
      </w:tr>
      <w:tr>
        <w:tc>
          <w:tcPr>
            <w:tcW w:type="dxa" w:w="5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Expand Conclusion (2 sentences → 350–500 words)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val="false"/>
                <w:bCs w:val="false"/>
                <w:color w:val="000000"/>
                <w:sz w:val="18"/>
                <w:szCs w:val="18"/>
              </w:rPr>
              <w:t xml:space="preserve">1–2 hrs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Include model summary, practical takeaways, future research direction</w:t>
            </w:r>
          </w:p>
        </w:tc>
      </w:tr>
      <w:tr>
        <w:tc>
          <w:tcPr>
            <w:tcW w:type="dxa" w:w="5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Restructure Abstract into structured format (~200–250 words)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30–60 min</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Background / Objective / Methods / Results / Conclusions format</w:t>
            </w:r>
          </w:p>
        </w:tc>
      </w:tr>
      <w:tr>
        <w:tc>
          <w:tcPr>
            <w:tcW w:type="dxa" w:w="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Add formal search query strings to Methods section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val="false"/>
                <w:bCs w:val="false"/>
                <w:color w:val="000000"/>
                <w:sz w:val="18"/>
                <w:szCs w:val="18"/>
              </w:rPr>
              <w:t xml:space="preserve">1 hr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Use queries from Section 3 of this research plan</w:t>
            </w:r>
          </w:p>
        </w:tc>
      </w:tr>
      <w:tr>
        <w:tc>
          <w:tcPr>
            <w:tcW w:type="dxa" w:w="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Add narrative connecting systematic review findings to case findings in Results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1–2 hrs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Bridge between the two analytical tracks is currently implicit</w:t>
            </w:r>
          </w:p>
        </w:tc>
      </w:tr>
      <w:tr>
        <w:tc>
          <w:tcPr>
            <w:tcW w:type="dxa" w:w="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Expand Limitations (3 sentences → 150–200 words)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val="false"/>
                <w:bCs w:val="false"/>
                <w:color w:val="000000"/>
                <w:sz w:val="18"/>
                <w:szCs w:val="18"/>
              </w:rPr>
              <w:t xml:space="preserve">30–45 min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Add English-language bias, confirmatory bias, generalizability</w:t>
            </w:r>
          </w:p>
        </w:tc>
      </w:tr>
      <w:tr>
        <w:tc>
          <w:tcPr>
            <w:tcW w:type="dxa" w:w="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Complete incomplete .bib entries (Adler-Milstein, Holmes)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30 min</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Missing volume/issue/pages in two key citations</w:t>
            </w:r>
          </w:p>
        </w:tc>
      </w:tr>
      <w:tr>
        <w:tc>
          <w:tcPr>
            <w:tcW w:type="dxa" w:w="5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Add explicit RQ responses to Discussion section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val="false"/>
                <w:bCs w:val="false"/>
                <w:color w:val="000000"/>
                <w:sz w:val="18"/>
                <w:szCs w:val="18"/>
              </w:rPr>
              <w:t xml:space="preserve">45 min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Each RQ should be explicitly addressed in a discussion subsection</w:t>
            </w:r>
          </w:p>
        </w:tc>
      </w:tr>
      <w:tr>
        <w:tc>
          <w:tcPr>
            <w:tcW w:type="dxa" w:w="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Execute formal database searches and update PRISMA counts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3–5 hrs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Optional if framing as protocol paper or if counts are clearly labeled projected</w:t>
            </w:r>
          </w:p>
        </w:tc>
      </w:tr>
      <w:tr>
        <w:tc>
          <w:tcPr>
            <w:tcW w:type="dxa" w:w="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Compile PRISMA 2020 checklist for submission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val="false"/>
                <w:bCs w:val="false"/>
                <w:color w:val="000000"/>
                <w:sz w:val="18"/>
                <w:szCs w:val="18"/>
              </w:rPr>
              <w:t xml:space="preserve">1 hr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Required by most journals for systematic review submissions</w:t>
            </w:r>
          </w:p>
        </w:tc>
      </w:tr>
      <w:tr>
        <w:tc>
          <w:tcPr>
            <w:tcW w:type="dxa" w:w="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Write cover letter for target journal submission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b w:val="false"/>
                <w:bCs w:val="false"/>
                <w:color w:val="000000"/>
                <w:sz w:val="18"/>
                <w:szCs w:val="18"/>
              </w:rPr>
              <w:t xml:space="preserve">1 hr</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b w:val="false"/>
                <w:bCs w:val="false"/>
                <w:color w:val="000000"/>
                <w:sz w:val="18"/>
                <w:szCs w:val="18"/>
              </w:rPr>
              <w:t xml:space="preserve">Highlight novelty of U-T-I-O model; note no competing submission</w:t>
            </w:r>
          </w:p>
        </w:tc>
      </w:tr>
      <w:tr>
        <w:tc>
          <w:tcPr>
            <w:tcW w:type="dxa" w:w="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Final LaTeX compilation, PDF proof, and formatting review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b w:val="false"/>
                <w:bCs w:val="false"/>
                <w:color w:val="000000"/>
                <w:sz w:val="18"/>
                <w:szCs w:val="18"/>
              </w:rPr>
              <w:t xml:space="preserve">1–2 hrs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b w:val="false"/>
                <w:bCs w:val="false"/>
                <w:color w:val="000000"/>
                <w:sz w:val="18"/>
                <w:szCs w:val="18"/>
              </w:rPr>
              <w:t xml:space="preserve">Verify all figures render, tables don't overflow, citations compile</w:t>
            </w:r>
          </w:p>
        </w:tc>
      </w:tr>
      <w:tr>
        <w:tc>
          <w:tcPr>
            <w:tcW w:type="dxa" w:w="5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4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Convert U-T-I-O Alignment Index to a figure (hybrid revision)</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b/>
                <w:bCs/>
                <w:color w:val="375623"/>
                <w:sz w:val="18"/>
                <w:szCs w:val="18"/>
              </w:rPr>
              <w:t xml:space="preserve">Done</w:t>
            </w:r>
          </w:p>
        </w:tc>
        <w:tc>
          <w:tcPr>
            <w:tcW w:type="dxa" w:w="3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RESOLVED — now Figure 2 (Estonia 1.00; ONC HIE/NHS 0.83; VA/DoD 0.50); replaces former Table 5.</w:t>
            </w:r>
          </w:p>
        </w:tc>
      </w:tr>
      <w:tr>
        <w:tc>
          <w:tcPr>
            <w:tcW w:type="dxa" w:w="5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4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Table/figure budget triage (max 4 tables / 3 figures)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b/>
                <w:bCs/>
                <w:color w:val="375623"/>
                <w:sz w:val="18"/>
                <w:szCs w:val="18"/>
              </w:rPr>
              <w:t xml:space="preserve">Done</w:t>
            </w:r>
          </w:p>
        </w:tc>
        <w:tc>
          <w:tcPr>
            <w:tcW w:type="dxa" w:w="3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RESOLVED — body now 3 tables, 2 figures; Rating Scale, Coding Schema, and Source-to-Domain Mapping tables moved to Supplementary Materials.</w:t>
            </w:r>
          </w:p>
        </w:tc>
      </w:tr>
      <w:tr>
        <w:tc>
          <w:tcPr>
            <w:tcW w:type="dxa" w:w="5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4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Word-count trim toward 4,000-word IJMI limit</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b/>
                <w:bCs/>
                <w:color w:val="375623"/>
                <w:sz w:val="18"/>
                <w:szCs w:val="18"/>
              </w:rPr>
              <w:t xml:space="preserve">Done</w:t>
            </w:r>
          </w:p>
        </w:tc>
        <w:tc>
          <w:tcPr>
            <w:tcW w:type="dxa" w:w="3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Body trimmed ~6,450 → ~4,800 words (~26%); cross-section redundancy consolidated. Residual gap to 4,000 may need further author-directed cuts.</w:t>
            </w:r>
          </w:p>
        </w:tc>
      </w:tr>
    </w:tbl>
    <w:p>
      <w:pPr>
        <w:spacing w:after="60" w:before="60"/>
      </w:pPr>
      <w:r>
        <w:t xml:space="preserve"/>
      </w:r>
    </w:p>
    <w:p>
      <w:pPr>
        <w:spacing w:after="60" w:before="60"/>
      </w:pPr>
      <w:r>
        <w:t xml:space="preserve"/>
      </w:r>
    </w:p>
    <w:p>
      <w:r>
        <w:br w:type="page"/>
      </w:r>
    </w:p>
    <w:p>
      <w:pPr>
        <w:pStyle w:val="Heading1"/>
        <w:shd w:fill="1F3864" w:val="clear"/>
        <w:spacing w:after="160" w:before="320"/>
        <w:ind w:left="200" w:right="200"/>
      </w:pPr>
      <w:r>
        <w:rPr>
          <w:rFonts w:ascii="Arial" w:cs="Arial" w:eastAsia="Arial" w:hAnsi="Arial"/>
          <w:b/>
          <w:bCs/>
          <w:color w:val="FFFFFF"/>
          <w:sz w:val="32"/>
          <w:szCs w:val="32"/>
        </w:rPr>
        <w:t xml:space="preserve">6.  Submission Readiness Checklist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000000"/>
                <w:sz w:val="18"/>
                <w:szCs w:val="18"/>
              </w:rPr>
              <w:t xml:space="preserve"/>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Checklist Item</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375623"/>
                <w:sz w:val="20"/>
                <w:szCs w:val="20"/>
              </w:rPr>
              <w:t xml:space="preserve">✓</w:t>
            </w:r>
          </w:p>
        </w:tc>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Research questions clearly articulated (RQ1, RQ2, RQ3)</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bCs/>
                <w:color w:val="375623"/>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375623"/>
                <w:sz w:val="20"/>
                <w:szCs w:val="20"/>
              </w:rPr>
              <w:t xml:space="preserve">✓</w:t>
            </w:r>
          </w:p>
        </w:tc>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Theoretical framework developed (DeLone &amp; McLean + TOE + U-T-I-O)</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bCs/>
                <w:color w:val="375623"/>
                <w:sz w:val="18"/>
                <w:szCs w:val="18"/>
              </w:rPr>
              <w:t xml:space="preserve">Complete (needs expansion)</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375623"/>
                <w:sz w:val="20"/>
                <w:szCs w:val="20"/>
              </w:rPr>
              <w:t xml:space="preserve">✓</w:t>
            </w:r>
          </w:p>
        </w:tc>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Evidence extraction table (17 sources coded by UTIO domain)</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bCs/>
                <w:color w:val="375623"/>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375623"/>
                <w:sz w:val="20"/>
                <w:szCs w:val="20"/>
              </w:rPr>
              <w:t xml:space="preserve">✓</w:t>
            </w:r>
          </w:p>
        </w:tc>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Multi-case comparative analysis (ONC, NHS, Estonia, VA/DoD)</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bCs/>
                <w:color w:val="375623"/>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375623"/>
                <w:sz w:val="20"/>
                <w:szCs w:val="20"/>
              </w:rPr>
              <w:t xml:space="preserve">✓</w:t>
            </w:r>
          </w:p>
        </w:tc>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Discussion: market dynamics, ethical dimensions, practical implications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bCs/>
                <w:color w:val="375623"/>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375623"/>
                <w:sz w:val="20"/>
                <w:szCs w:val="20"/>
              </w:rPr>
              <w:t xml:space="preserve">✓</w:t>
            </w:r>
          </w:p>
        </w:tc>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Ethics and compliance statement (HIPAA, HITECH, NIST)</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bCs/>
                <w:color w:val="375623"/>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375623"/>
                <w:sz w:val="20"/>
                <w:szCs w:val="20"/>
              </w:rPr>
              <w:t xml:space="preserve">✓</w:t>
            </w:r>
          </w:p>
        </w:tc>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PRISMA flow diagram (TikZ source in repository)</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bCs/>
                <w:color w:val="375623"/>
                <w:sz w:val="18"/>
                <w:szCs w:val="18"/>
              </w:rPr>
              <w:t xml:space="preserve">Complete (counts need update)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375623"/>
                <w:sz w:val="20"/>
                <w:szCs w:val="20"/>
              </w:rPr>
              <w:t xml:space="preserve">✓</w:t>
            </w:r>
          </w:p>
        </w:tc>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Bibliography (.bib file) with 19 sources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bCs/>
                <w:color w:val="375623"/>
                <w:sz w:val="18"/>
                <w:szCs w:val="18"/>
              </w:rPr>
              <w:t xml:space="preserve">Complete (2 entries incomplete)</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C55A11"/>
                <w:sz w:val="20"/>
                <w:szCs w:val="20"/>
              </w:rPr>
              <w:t xml:space="preserve">!</w:t>
            </w:r>
          </w:p>
        </w:tc>
        <w:tc>
          <w:tcPr>
            <w:tcW w:type="dxa" w:w="6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val="false"/>
                <w:bCs w:val="false"/>
                <w:color w:val="000000"/>
                <w:sz w:val="18"/>
                <w:szCs w:val="18"/>
              </w:rPr>
              <w:t xml:space="preserve">Introduction — full section with context, gap, and objectives</w:t>
            </w:r>
          </w:p>
        </w:tc>
        <w:tc>
          <w:tcPr>
            <w:tcW w:type="dxa" w:w="2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bCs/>
                <w:color w:val="C55A11"/>
                <w:sz w:val="18"/>
                <w:szCs w:val="18"/>
              </w:rPr>
              <w:t xml:space="preserve">IN PROGRESS — Stub only</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C55A11"/>
                <w:sz w:val="20"/>
                <w:szCs w:val="20"/>
              </w:rPr>
              <w:t xml:space="preserve">!</w:t>
            </w:r>
          </w:p>
        </w:tc>
        <w:tc>
          <w:tcPr>
            <w:tcW w:type="dxa" w:w="6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val="false"/>
                <w:bCs w:val="false"/>
                <w:color w:val="000000"/>
                <w:sz w:val="18"/>
                <w:szCs w:val="18"/>
              </w:rPr>
              <w:t xml:space="preserve">Background — DeLone &amp; McLean, TOE, U-T-I-O synthesis (full development)</w:t>
            </w:r>
          </w:p>
        </w:tc>
        <w:tc>
          <w:tcPr>
            <w:tcW w:type="dxa" w:w="2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bCs/>
                <w:color w:val="C55A11"/>
                <w:sz w:val="18"/>
                <w:szCs w:val="18"/>
              </w:rPr>
              <w:t xml:space="preserve">IN PROGRESS — Stub only</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C55A11"/>
                <w:sz w:val="20"/>
                <w:szCs w:val="20"/>
              </w:rPr>
              <w:t xml:space="preserve">!</w:t>
            </w:r>
          </w:p>
        </w:tc>
        <w:tc>
          <w:tcPr>
            <w:tcW w:type="dxa" w:w="6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val="false"/>
                <w:bCs w:val="false"/>
                <w:color w:val="000000"/>
                <w:sz w:val="18"/>
                <w:szCs w:val="18"/>
              </w:rPr>
              <w:t xml:space="preserve">Conclusion — full summary of U-T-I-O findings and future research directions</w:t>
            </w:r>
          </w:p>
        </w:tc>
        <w:tc>
          <w:tcPr>
            <w:tcW w:type="dxa" w:w="2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bCs/>
                <w:color w:val="C55A11"/>
                <w:sz w:val="18"/>
                <w:szCs w:val="18"/>
              </w:rPr>
              <w:t xml:space="preserve">IN PROGRESS — Stub only</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C55A11"/>
                <w:sz w:val="20"/>
                <w:szCs w:val="20"/>
              </w:rPr>
              <w:t xml:space="preserve">!</w:t>
            </w:r>
          </w:p>
        </w:tc>
        <w:tc>
          <w:tcPr>
            <w:tcW w:type="dxa" w:w="6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val="false"/>
                <w:bCs w:val="false"/>
                <w:color w:val="000000"/>
                <w:sz w:val="18"/>
                <w:szCs w:val="18"/>
              </w:rPr>
              <w:t xml:space="preserve">Abstract — structured format (Background / Objective / Methods / Results / Conclusions)</w:t>
            </w:r>
          </w:p>
        </w:tc>
        <w:tc>
          <w:tcPr>
            <w:tcW w:type="dxa" w:w="2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bCs/>
                <w:color w:val="C55A11"/>
                <w:sz w:val="18"/>
                <w:szCs w:val="18"/>
              </w:rPr>
              <w:t xml:space="preserve">NEEDS RESTRUCTURING</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C55A11"/>
                <w:sz w:val="20"/>
                <w:szCs w:val="20"/>
              </w:rPr>
              <w:t xml:space="preserve">!</w:t>
            </w:r>
          </w:p>
        </w:tc>
        <w:tc>
          <w:tcPr>
            <w:tcW w:type="dxa" w:w="6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val="false"/>
                <w:bCs w:val="false"/>
                <w:color w:val="000000"/>
                <w:sz w:val="18"/>
                <w:szCs w:val="18"/>
              </w:rPr>
              <w:t xml:space="preserve">Methods — formal database search query strings documented</w:t>
            </w:r>
          </w:p>
        </w:tc>
        <w:tc>
          <w:tcPr>
            <w:tcW w:type="dxa" w:w="2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bCs/>
                <w:color w:val="C55A11"/>
                <w:sz w:val="18"/>
                <w:szCs w:val="18"/>
              </w:rPr>
              <w:t xml:space="preserve">NEEDS ADDITION</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C55A11"/>
                <w:sz w:val="20"/>
                <w:szCs w:val="20"/>
              </w:rPr>
              <w:t xml:space="preserve">!</w:t>
            </w:r>
          </w:p>
        </w:tc>
        <w:tc>
          <w:tcPr>
            <w:tcW w:type="dxa" w:w="6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val="false"/>
                <w:bCs w:val="false"/>
                <w:color w:val="000000"/>
                <w:sz w:val="18"/>
                <w:szCs w:val="18"/>
              </w:rPr>
              <w:t xml:space="preserve">PRISMA 2020 checklist completed and attached</w:t>
            </w:r>
          </w:p>
        </w:tc>
        <w:tc>
          <w:tcPr>
            <w:tcW w:type="dxa" w:w="2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bCs/>
                <w:color w:val="C55A11"/>
                <w:sz w:val="18"/>
                <w:szCs w:val="18"/>
              </w:rPr>
              <w:t xml:space="preserve">NOT STARTED</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C55A11"/>
                <w:sz w:val="20"/>
                <w:szCs w:val="20"/>
              </w:rPr>
              <w:t xml:space="preserve">!</w:t>
            </w:r>
          </w:p>
        </w:tc>
        <w:tc>
          <w:tcPr>
            <w:tcW w:type="dxa" w:w="6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val="false"/>
                <w:bCs w:val="false"/>
                <w:color w:val="000000"/>
                <w:sz w:val="18"/>
                <w:szCs w:val="18"/>
              </w:rPr>
              <w:t xml:space="preserve">Cover letter written for target journal</w:t>
            </w:r>
          </w:p>
        </w:tc>
        <w:tc>
          <w:tcPr>
            <w:tcW w:type="dxa" w:w="2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bCs/>
                <w:color w:val="C55A11"/>
                <w:sz w:val="18"/>
                <w:szCs w:val="18"/>
              </w:rPr>
              <w:t xml:space="preserve">NOT STARTED</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375623"/>
                <w:sz w:val="20"/>
                <w:szCs w:val="20"/>
              </w:rPr>
              <w:t xml:space="preserve">✓</w:t>
            </w:r>
          </w:p>
        </w:tc>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U-T-I-O Alignment Index added (Methods Eq. 2; Results Figure 2) — resolves framework-vs-evaluation review point</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bCs/>
                <w:color w:val="375623"/>
                <w:sz w:val="18"/>
                <w:szCs w:val="18"/>
              </w:rPr>
              <w:t xml:space="preserve">Complete (hybrid revision)</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375623"/>
                <w:sz w:val="20"/>
                <w:szCs w:val="20"/>
              </w:rPr>
              <w:t xml:space="preserve">✓</w:t>
            </w:r>
          </w:p>
        </w:tc>
        <w:tc>
          <w:tcPr>
            <w:tcW w:type="dxa" w:w="6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val="false"/>
                <w:bCs w:val="false"/>
                <w:color w:val="000000"/>
                <w:sz w:val="18"/>
                <w:szCs w:val="18"/>
              </w:rPr>
              <w:t xml:space="preserve">Table/figure budget within IJMI limits (3 tables, 2 figures)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b/>
                <w:bCs/>
                <w:color w:val="375623"/>
                <w:sz w:val="18"/>
                <w:szCs w:val="18"/>
              </w:rPr>
              <w:t xml:space="preserve">Complete (hybrid revision)</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C55A11"/>
                <w:sz w:val="20"/>
                <w:szCs w:val="20"/>
              </w:rPr>
              <w:t xml:space="preserve">!</w:t>
            </w:r>
          </w:p>
        </w:tc>
        <w:tc>
          <w:tcPr>
            <w:tcW w:type="dxa" w:w="6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val="false"/>
                <w:bCs w:val="false"/>
                <w:color w:val="000000"/>
                <w:sz w:val="18"/>
                <w:szCs w:val="18"/>
              </w:rPr>
              <w:t xml:space="preserve">Body within IJMI 4,000-word full-text limit</w:t>
            </w:r>
          </w:p>
        </w:tc>
        <w:tc>
          <w:tcPr>
            <w:tcW w:type="dxa" w:w="2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jc w:val="left"/>
            </w:pPr>
            <w:r>
              <w:rPr>
                <w:b/>
                <w:bCs/>
                <w:color w:val="C55A11"/>
                <w:sz w:val="18"/>
                <w:szCs w:val="18"/>
              </w:rPr>
              <w:t xml:space="preserve">IN PROGRESS — ~4,800; near target</w:t>
            </w:r>
          </w:p>
        </w:tc>
      </w:tr>
    </w:tbl>
    <w:p>
      <w:pPr>
        <w:spacing w:after="60" w:before="60"/>
      </w:pPr>
      <w:r>
        <w:t xml:space="preserve"/>
      </w:r>
    </w:p>
    <w:p>
      <w:pPr>
        <w:spacing w:after="60" w:before="6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pPr>
    <w:r>
      <w:rPr>
        <w:rFonts w:ascii="Arial" w:cs="Arial" w:eastAsia="Arial" w:hAnsi="Arial"/>
        <w:color w:val="888888"/>
        <w:sz w:val="16"/>
        <w:szCs w:val="16"/>
      </w:rPr>
      <w:t xml:space="preserve">Dr. Adams  |  Resilient Consulting Solutions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jc w:val="right"/>
    </w:pPr>
    <w:r>
      <w:rPr>
        <w:rFonts w:ascii="Arial" w:cs="Arial" w:eastAsia="Arial" w:hAnsi="Arial"/>
        <w:color w:val="888888"/>
        <w:sz w:val="16"/>
        <w:szCs w:val="16"/>
      </w:rPr>
      <w:t xml:space="preserve">eHealth Adoption Systematic Review  |  Research Plan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spacing w:after="30" w:before="30"/>
        <w:ind w:left="1080" w:hanging="360"/>
      </w:pPr>
      <w:rPr>
        <w:rFonts w:ascii="Arial" w:cs="Arial" w:eastAsia="Arial" w:hAnsi="Arial"/>
        <w:sz w:val="19"/>
        <w:szCs w:val="19"/>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2026-04-29T00:46:13.213Z</dcterms:created>
  <dcterms:modified xsi:type="dcterms:W3CDTF">2026-04-29T00:46:13.213Z</dcterms:modified>
</cp:coreProperties>
</file>

<file path=docProps/custom.xml><?xml version="1.0" encoding="utf-8"?>
<Properties xmlns="http://schemas.openxmlformats.org/officeDocument/2006/custom-properties" xmlns:vt="http://schemas.openxmlformats.org/officeDocument/2006/docPropsVTypes"/>
</file>