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0"/>
          <w:szCs w:val="40"/>
        </w:rPr>
        <w:t xml:space="preserve">Self-Review: Determinants of eHealth Systems Adoption</w:t>
      </w:r>
    </w:p>
    <w:p>
      <w:pPr>
        <w:spacing w:after="80" w:before="0"/>
        <w:jc w:val="center"/>
      </w:pPr>
      <w:r>
        <w:rPr>
          <w:rFonts w:ascii="Arial" w:cs="Arial" w:eastAsia="Arial" w:hAnsi="Arial"/>
          <w:b/>
          <w:bCs/>
          <w:color w:val="2E75B6"/>
          <w:sz w:val="30"/>
          <w:szCs w:val="30"/>
        </w:rPr>
        <w:t xml:space="preserve">A Systematic Review and Multi-Case Analysis</w:t>
      </w:r>
    </w:p>
    <w:p>
      <w:pPr>
        <w:spacing w:after="60" w:before="0"/>
        <w:jc w:val="center"/>
      </w:pPr>
      <w:r>
        <w:rPr>
          <w:rFonts w:ascii="Arial" w:cs="Arial" w:eastAsia="Arial" w:hAnsi="Arial"/>
          <w:i/>
          <w:iCs/>
          <w:color w:val="666666"/>
          <w:sz w:val="24"/>
          <w:szCs w:val="24"/>
        </w:rPr>
        <w:t xml:space="preserve">Phase 2 Critical Review — The Clinical Validation Gap</w:t>
      </w:r>
    </w:p>
    <w:p>
      <w:pPr>
        <w:spacing w:after="240" w:before="0"/>
        <w:jc w:val="center"/>
      </w:pPr>
      <w:r>
        <w:rPr>
          <w:rFonts w:ascii="Arial" w:cs="Arial" w:eastAsia="Arial" w:hAnsi="Arial"/>
          <w:color w:val="888888"/>
          <w:sz w:val="20"/>
          <w:szCs w:val="20"/>
        </w:rPr>
        <w:t xml:space="preserve">Joshua Adams, D.I.T.   |   May 2026   |   Confidential Working Document</w:t>
      </w: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Executive Summary</w:t>
      </w:r>
    </w:p>
    <w:p>
      <w:pPr>
        <w:spacing w:after="100" w:before="80"/>
        <w:jc w:val="left"/>
      </w:pPr>
      <w:r>
        <w:rPr>
          <w:rFonts w:ascii="Arial" w:cs="Arial" w:eastAsia="Arial" w:hAnsi="Arial"/>
          <w:b w:val="false"/>
          <w:bCs w:val="false"/>
          <w:i w:val="false"/>
          <w:iCs w:val="false"/>
          <w:color w:val="000000"/>
          <w:sz w:val="22"/>
          <w:szCs w:val="22"/>
        </w:rPr>
        <w:t xml:space="preserve">This self-review examines a specific and consequential gap in the U-T-I-O Model paper: the distinction between structural validation and clinical validation. The paper demonstrates, convincingly and with rigorous multi-source evidence, that alignment across the four U-T-I-O domains (User Readiness, Technical Interoperability, Institutional Alignment, and Organizational Execution) predicts implementation maturity and adoption readiness. What it does not yet demonstrate — and what this review contends is necessary for the model's full theoretical completion — is that domain alignment predicts improved patient outcomes.</w:t>
      </w:r>
    </w:p>
    <w:p>
      <w:pPr>
        <w:spacing w:after="100" w:before="80"/>
        <w:jc w:val="left"/>
      </w:pPr>
      <w:r>
        <w:rPr>
          <w:rFonts w:ascii="Arial" w:cs="Arial" w:eastAsia="Arial" w:hAnsi="Arial"/>
          <w:b w:val="false"/>
          <w:bCs w:val="false"/>
          <w:i w:val="false"/>
          <w:iCs w:val="false"/>
          <w:color w:val="000000"/>
          <w:sz w:val="22"/>
          <w:szCs w:val="22"/>
        </w:rPr>
        <w:t xml:space="preserve">This distinction is not a minor methodological gap. It is the difference between proving that a system was well-built and proving that it made patients healthier. For a model designed to guide healthcare investment decisions worth tens of billions of dollars, this is a gap that peer reviewers will identify, and that the author should address proactively.</w:t>
      </w:r>
    </w:p>
    <w:p>
      <w:pPr>
        <w:spacing w:after="160" w:before="80"/>
        <w:jc w:val="left"/>
      </w:pPr>
      <w:r>
        <w:rPr>
          <w:rFonts w:ascii="Arial" w:cs="Arial" w:eastAsia="Arial" w:hAnsi="Arial"/>
          <w:b w:val="false"/>
          <w:bCs w:val="false"/>
          <w:i w:val="false"/>
          <w:iCs w:val="false"/>
          <w:color w:val="000000"/>
          <w:sz w:val="22"/>
          <w:szCs w:val="22"/>
        </w:rPr>
        <w:t xml:space="preserve">This review employs three complementary analytical approaches — Critical, Investigative, and Constructive — and synthesizes them into a set of concrete manuscript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Approach</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Core Claim</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Analytical Action</w:t>
            </w:r>
          </w:p>
        </w:tc>
      </w:tr>
      <w:tr>
        <w:tc>
          <w:tcPr>
            <w:tcW w:type="dxa" w:w="2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Critical</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The paper proves alignment, not efficacy</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1"/>
                <w:szCs w:val="21"/>
              </w:rPr>
              <w:t xml:space="preserve">Distinguish Structural Validation from Clinical Validation; argue the model needs empirical outcome data to complete its proof</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Investigative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missing clinical data exists in the primary sources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Cross-reference GAO-25-108091 and GAO-24-106187 for patient safety incident counts, clinical error rates, and sentinel event data not foregrounded in the paper</w:t>
            </w:r>
          </w:p>
        </w:tc>
      </w:tr>
      <w:tr>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Constructive</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The model is a leading-indicator framework; it needs a lagging-indicator layer</w:t>
            </w:r>
          </w:p>
        </w:tc>
        <w:tc>
          <w:tcPr>
            <w:tcW w:type="dxa" w:w="3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1"/>
                <w:szCs w:val="21"/>
              </w:rPr>
              <w:t xml:space="preserve">Propose a formal fifth validation layer—Outcome Metrics (OM)—consisting of clinical KPIs that confirm adoption created value, not merely deployment</w:t>
            </w:r>
          </w:p>
        </w:tc>
      </w:tr>
    </w:tbl>
    <w:p>
      <w:pPr>
        <w:spacing w:after="0" w:before="200"/>
      </w:pP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Part I — The Critical Approach: Structural vs. Clinical Validation</w:t>
      </w:r>
    </w:p>
    <w:p>
      <w:pPr>
        <w:pStyle w:val="Heading2"/>
        <w:spacing w:after="120" w:before="240"/>
      </w:pPr>
      <w:r>
        <w:rPr>
          <w:rFonts w:ascii="Arial" w:cs="Arial" w:eastAsia="Arial" w:hAnsi="Arial"/>
          <w:b/>
          <w:bCs/>
          <w:color w:val="2E75B6"/>
          <w:sz w:val="26"/>
          <w:szCs w:val="26"/>
        </w:rPr>
        <w:t xml:space="preserve">1.1 What the Paper Proves</w:t>
      </w:r>
    </w:p>
    <w:p>
      <w:pPr>
        <w:spacing w:after="100" w:before="80"/>
        <w:jc w:val="left"/>
      </w:pPr>
      <w:r>
        <w:rPr>
          <w:rFonts w:ascii="Arial" w:cs="Arial" w:eastAsia="Arial" w:hAnsi="Arial"/>
          <w:b w:val="false"/>
          <w:bCs w:val="false"/>
          <w:i w:val="false"/>
          <w:iCs w:val="false"/>
          <w:color w:val="000000"/>
          <w:sz w:val="22"/>
          <w:szCs w:val="22"/>
        </w:rPr>
        <w:t xml:space="preserve">The paper achieves a well-evidenced form of structural validation: it demonstrates that the U-T-I-O Model correctly characterizes observed adoption patterns across four major national implementations, and that multi-domain alignment (as in Estonia) correlates with higher implementation maturity, while domain misalignment (as in VA/DoD) correlates with deployment failures, cost overruns, and user dissatisfaction. This is genuinely useful science.</w:t>
      </w:r>
    </w:p>
    <w:p>
      <w:pPr>
        <w:spacing w:after="80" w:before="80"/>
        <w:jc w:val="left"/>
      </w:pPr>
      <w:r>
        <w:rPr>
          <w:rFonts w:ascii="Arial" w:cs="Arial" w:eastAsia="Arial" w:hAnsi="Arial"/>
          <w:b w:val="false"/>
          <w:bCs w:val="false"/>
          <w:i w:val="false"/>
          <w:iCs w:val="false"/>
          <w:color w:val="000000"/>
          <w:sz w:val="22"/>
          <w:szCs w:val="22"/>
        </w:rPr>
        <w:t xml:space="preserve">The evidence chain the paper establishes is: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U-T-I-O domain alignment → implementation maturity (demonstrated)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Implementation maturity → deployment success metrics (documented via GAO audits and case evidence)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Deployment success → improved patient outcomes (assumed, not evidenced)</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The third link in this chain is the paper's most significant unresolved claim. The paper's conclusion states that the U-T-I-O Model provides 'actionable guidance for health system leaders.' The implicit promise of this guidance is that following it will produce better health outcomes. That promise is currently unsupported by outcome data.</w:t>
      </w:r>
    </w:p>
    <w:p>
      <w:pPr>
        <w:pStyle w:val="Heading2"/>
        <w:spacing w:after="120" w:before="240"/>
      </w:pPr>
      <w:r>
        <w:rPr>
          <w:rFonts w:ascii="Arial" w:cs="Arial" w:eastAsia="Arial" w:hAnsi="Arial"/>
          <w:b/>
          <w:bCs/>
          <w:color w:val="2E75B6"/>
          <w:sz w:val="26"/>
          <w:szCs w:val="26"/>
        </w:rPr>
        <w:t xml:space="preserve">1.2 The Logical Gap: Process Success vs. Outcome Success</w:t>
      </w:r>
    </w:p>
    <w:p>
      <w:pPr>
        <w:spacing w:after="100" w:before="80"/>
        <w:jc w:val="left"/>
      </w:pPr>
      <w:r>
        <w:rPr>
          <w:rFonts w:ascii="Arial" w:cs="Arial" w:eastAsia="Arial" w:hAnsi="Arial"/>
          <w:sz w:val="22"/>
          <w:szCs w:val="22"/>
        </w:rPr>
        <w:t xml:space="preserve">A useful analogy: the paper proves that Estonia has a better </w:t>
      </w:r>
      <w:r>
        <w:rPr>
          <w:rFonts w:ascii="Arial" w:cs="Arial" w:eastAsia="Arial" w:hAnsi="Arial"/>
          <w:i/>
          <w:iCs/>
          <w:sz w:val="22"/>
          <w:szCs w:val="22"/>
        </w:rPr>
        <w:t xml:space="preserve">engine</w:t>
      </w:r>
      <w:r>
        <w:rPr>
          <w:rFonts w:ascii="Arial" w:cs="Arial" w:eastAsia="Arial" w:hAnsi="Arial"/>
          <w:sz w:val="22"/>
          <w:szCs w:val="22"/>
        </w:rPr>
        <w:t xml:space="preserve"> (the architecture) than the VA/DoD. It does not yet provide the </w:t>
      </w:r>
      <w:r>
        <w:rPr>
          <w:rFonts w:ascii="Arial" w:cs="Arial" w:eastAsia="Arial" w:hAnsi="Arial"/>
          <w:i/>
          <w:iCs/>
          <w:sz w:val="22"/>
          <w:szCs w:val="22"/>
        </w:rPr>
        <w:t xml:space="preserve">telemetry</w:t>
      </w:r>
      <w:r>
        <w:rPr>
          <w:rFonts w:ascii="Arial" w:cs="Arial" w:eastAsia="Arial" w:hAnsi="Arial"/>
          <w:sz w:val="22"/>
          <w:szCs w:val="22"/>
        </w:rPr>
        <w:t xml:space="preserve"> — clinical outcome data — to prove the car is driving faster or safer. This distinction, between </w:t>
      </w:r>
      <w:r>
        <w:rPr>
          <w:rFonts w:ascii="Arial" w:cs="Arial" w:eastAsia="Arial" w:hAnsi="Arial"/>
          <w:b/>
          <w:bCs/>
          <w:sz w:val="22"/>
          <w:szCs w:val="22"/>
        </w:rPr>
        <w:t xml:space="preserve">Process Success</w:t>
      </w:r>
      <w:r>
        <w:rPr>
          <w:rFonts w:ascii="Arial" w:cs="Arial" w:eastAsia="Arial" w:hAnsi="Arial"/>
          <w:sz w:val="22"/>
          <w:szCs w:val="22"/>
        </w:rPr>
        <w:t xml:space="preserve"> (the system works as intended) and </w:t>
      </w:r>
      <w:r>
        <w:rPr>
          <w:rFonts w:ascii="Arial" w:cs="Arial" w:eastAsia="Arial" w:hAnsi="Arial"/>
          <w:b/>
          <w:bCs/>
          <w:sz w:val="22"/>
          <w:szCs w:val="22"/>
        </w:rPr>
        <w:t xml:space="preserve">Outcome Success</w:t>
      </w:r>
      <w:r>
        <w:rPr>
          <w:rFonts w:ascii="Arial" w:cs="Arial" w:eastAsia="Arial" w:hAnsi="Arial"/>
          <w:sz w:val="22"/>
          <w:szCs w:val="22"/>
        </w:rPr>
        <w:t xml:space="preserve"> (patients are healthier), is foundational in health services research and will be recognized immediately by peer reviewers in the clinical informatics domain.</w:t>
      </w:r>
    </w:p>
    <w:p>
      <w:pPr>
        <w:spacing w:after="80" w:before="80"/>
        <w:jc w:val="left"/>
      </w:pPr>
      <w:r>
        <w:rPr>
          <w:rFonts w:ascii="Arial" w:cs="Arial" w:eastAsia="Arial" w:hAnsi="Arial"/>
          <w:b w:val="false"/>
          <w:bCs w:val="false"/>
          <w:i w:val="false"/>
          <w:iCs w:val="false"/>
          <w:color w:val="000000"/>
          <w:sz w:val="22"/>
          <w:szCs w:val="22"/>
        </w:rPr>
        <w:t xml:space="preserve">The most precise framing of this critique for the manuscript 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Recommended Self-Critique Language (for Limitations or Discussion section):</w:t>
            </w:r>
          </w:p>
          <w:p>
            <w:pPr>
              <w:spacing w:after="60" w:before="0"/>
            </w:pPr>
            <w:r>
              <w:rPr>
                <w:rFonts w:ascii="Arial" w:cs="Arial" w:eastAsia="Arial" w:hAnsi="Arial"/>
                <w:sz w:val="22"/>
                <w:szCs w:val="22"/>
              </w:rPr>
              <w:t xml:space="preserve">"While the U-T-I-O Model demonstrates predictive validity at the level of implementation maturity — correctly characterizing adoption patterns across four nationally diverse cases — the present study does not establish a direct empirical link between domain alignment and clinical outcome improvement. The model identifies which systems are best positioned to deliver clinical value; it does not yet confirm that deployment of aligned systems translates into measurable reductions in adverse events, diagnostic error rates, or patient safety incidents. Establishing this link represents a necessary next step for the model's full validation as a health outcomes framework, as distinct from an implementation readiness framework."</w:t>
            </w:r>
          </w:p>
        </w:tc>
      </w:tr>
    </w:tbl>
    <w:p>
      <w:pPr>
        <w:spacing w:after="0" w:before="160"/>
      </w:pPr>
    </w:p>
    <w:p>
      <w:pPr>
        <w:pStyle w:val="Heading2"/>
        <w:spacing w:after="120" w:before="240"/>
      </w:pPr>
      <w:r>
        <w:rPr>
          <w:rFonts w:ascii="Arial" w:cs="Arial" w:eastAsia="Arial" w:hAnsi="Arial"/>
          <w:b/>
          <w:bCs/>
          <w:color w:val="2E75B6"/>
          <w:sz w:val="26"/>
          <w:szCs w:val="26"/>
        </w:rPr>
        <w:t xml:space="preserve">1.3 Why This Gap Does Not Invalidate the Paper</w:t>
      </w:r>
    </w:p>
    <w:p>
      <w:pPr>
        <w:spacing w:after="100" w:before="80"/>
        <w:jc w:val="left"/>
      </w:pPr>
      <w:r>
        <w:rPr>
          <w:rFonts w:ascii="Arial" w:cs="Arial" w:eastAsia="Arial" w:hAnsi="Arial"/>
          <w:b w:val="false"/>
          <w:bCs w:val="false"/>
          <w:i w:val="false"/>
          <w:iCs w:val="false"/>
          <w:color w:val="000000"/>
          <w:sz w:val="22"/>
          <w:szCs w:val="22"/>
        </w:rPr>
        <w:t xml:space="preserve">Importantly, this critique does not undermine the paper's contribution. Structural validation is a legitimate and valuable first step; most novel frameworks in health informatics begin precisely here. The IS Success Model (DeLone &amp; McLean, 2003), cited in the paper, was similarly validated at the system-use level before clinical outcome studies appeared. The Technology Acceptance Model (TAM) and its derivatives have decades of structural validation preceding clinical outcome validation.</w:t>
      </w:r>
    </w:p>
    <w:p>
      <w:pPr>
        <w:spacing w:after="100" w:before="80"/>
        <w:jc w:val="left"/>
      </w:pPr>
      <w:r>
        <w:rPr>
          <w:rFonts w:ascii="Arial" w:cs="Arial" w:eastAsia="Arial" w:hAnsi="Arial"/>
          <w:b w:val="false"/>
          <w:bCs w:val="false"/>
          <w:i w:val="false"/>
          <w:iCs w:val="false"/>
          <w:color w:val="000000"/>
          <w:sz w:val="22"/>
          <w:szCs w:val="22"/>
        </w:rPr>
        <w:t xml:space="preserve">What the critique demands is epistemic clarity: the paper should acknowledge what it has proven, be precise about what it has not yet proven, and frame the clinical outcome question as the primary direction for future research — which the Conclusion section partially does, but without the specificity this gap warrants.</w:t>
      </w: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Part II — The Investigative Approach: Mining Primary Sources for Clinical Evidence</w:t>
      </w:r>
    </w:p>
    <w:p>
      <w:pPr>
        <w:pStyle w:val="Heading2"/>
        <w:spacing w:after="120" w:before="240"/>
      </w:pPr>
      <w:r>
        <w:rPr>
          <w:rFonts w:ascii="Arial" w:cs="Arial" w:eastAsia="Arial" w:hAnsi="Arial"/>
          <w:b/>
          <w:bCs/>
          <w:color w:val="2E75B6"/>
          <w:sz w:val="26"/>
          <w:szCs w:val="26"/>
        </w:rPr>
        <w:t xml:space="preserve">2.1 The Detective Method: Following the Author's Own Citations</w:t>
      </w:r>
    </w:p>
    <w:p>
      <w:pPr>
        <w:spacing w:after="100" w:before="80"/>
        <w:jc w:val="left"/>
      </w:pPr>
      <w:r>
        <w:rPr>
          <w:rFonts w:ascii="Arial" w:cs="Arial" w:eastAsia="Arial" w:hAnsi="Arial"/>
          <w:b w:val="false"/>
          <w:bCs w:val="false"/>
          <w:i w:val="false"/>
          <w:iCs w:val="false"/>
          <w:color w:val="000000"/>
          <w:sz w:val="22"/>
          <w:szCs w:val="22"/>
        </w:rPr>
        <w:t xml:space="preserve">The paper's reference list contains the map to the missing data. The two GAO audit reports that anchor the VA/DoD case — GAO-25-108091 and GAO-24-106187 — are not merely evidence of structural failures. They also contain, or directly reference, data on the clinical consequences of those structural failures. The investigative step is to return to these original sources and surface the clinical friction data that the paper treats as background.</w:t>
      </w:r>
    </w:p>
    <w:p>
      <w:pPr>
        <w:pStyle w:val="Heading2"/>
        <w:spacing w:after="120" w:before="240"/>
      </w:pPr>
      <w:r>
        <w:rPr>
          <w:rFonts w:ascii="Arial" w:cs="Arial" w:eastAsia="Arial" w:hAnsi="Arial"/>
          <w:b/>
          <w:bCs/>
          <w:color w:val="2E75B6"/>
          <w:sz w:val="26"/>
          <w:szCs w:val="26"/>
        </w:rPr>
        <w:t xml:space="preserve">2.2 What the GAO Primary Sources Likely Contain</w:t>
      </w:r>
    </w:p>
    <w:p>
      <w:pPr>
        <w:pStyle w:val="Heading3"/>
        <w:spacing w:after="100" w:before="180"/>
      </w:pPr>
      <w:r>
        <w:rPr>
          <w:rFonts w:ascii="Arial" w:cs="Arial" w:eastAsia="Arial" w:hAnsi="Arial"/>
          <w:b/>
          <w:bCs/>
          <w:i/>
          <w:iCs/>
          <w:color w:val="444444"/>
          <w:sz w:val="23"/>
          <w:szCs w:val="23"/>
        </w:rPr>
        <w:t xml:space="preserve">GAO-25-108091 (VA EHR, 2025)</w:t>
      </w:r>
    </w:p>
    <w:p>
      <w:pPr>
        <w:spacing w:after="80" w:before="80"/>
        <w:jc w:val="left"/>
      </w:pPr>
      <w:r>
        <w:rPr>
          <w:rFonts w:ascii="Arial" w:cs="Arial" w:eastAsia="Arial" w:hAnsi="Arial"/>
          <w:b w:val="false"/>
          <w:bCs w:val="false"/>
          <w:i w:val="false"/>
          <w:iCs w:val="false"/>
          <w:color w:val="000000"/>
          <w:sz w:val="22"/>
          <w:szCs w:val="22"/>
        </w:rPr>
        <w:t xml:space="preserve">This report, 'Electronic Health Record Modernization: VA Is Making Incremental Improvements, but Much More Remains to Be Done,' extends a multi-year audit of the Oracle Health implementation at VA medical centers. Beyond structural findings on deployment delays and cost overruns, GAO EHR audits at this stage of the VA program have documented: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Patient safety events linked to EHR configuration failures and system downtime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Clinician-reported increases in documentation burden and alert fatigue post-migration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Medication reconciliation errors attributable to legacy system integration gaps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Congressional testimony from VA clinical staff on workflow-related near-miss events</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If the 2025 report contains specific incident counts or safety event rates, these numbers transform the VA/DoD U-T-I-O profile from a structural critique (Low-Medium on U, T, O) into a clinically grounded one. The author's 'Low-Medium' rating for User Readiness would then be backed not only by satisfaction surveys but by documented patient harm.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Recommended Investigative Action:</w:t>
            </w:r>
          </w:p>
          <w:p>
            <w:pPr>
              <w:spacing w:after="60" w:before="0"/>
            </w:pPr>
            <w:r>
              <w:rPr>
                <w:rFonts w:ascii="Arial" w:cs="Arial" w:eastAsia="Arial" w:hAnsi="Arial"/>
                <w:sz w:val="22"/>
                <w:szCs w:val="22"/>
              </w:rPr>
              <w:t xml:space="preserve">Access GAO-25-108091 directly at gao.gov/products/gao-25-108091 and search for: 'patient safety,' 'adverse event,' 'medication error,' 'clinical incident,' 'sentinel event.' Extract any quantitative findings (incident counts, rates, or percentages) and cite them explicitly in the Discussion section's VA/DoD analysis.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If found, the revised language should read: "The U(L-M) rating is further corroborated by GAO [3]'s finding of [X] patient safety incidents attributed to EHR configuration failures between [date range], underscoring that the structural gap in user readiness has produced measurable clinical friction at the point of care."</w:t>
            </w:r>
          </w:p>
        </w:tc>
      </w:tr>
    </w:tbl>
    <w:p>
      <w:pPr>
        <w:spacing w:after="0" w:before="160"/>
      </w:pPr>
    </w:p>
    <w:p>
      <w:pPr>
        <w:pStyle w:val="Heading3"/>
        <w:spacing w:after="100" w:before="180"/>
      </w:pPr>
      <w:r>
        <w:rPr>
          <w:rFonts w:ascii="Arial" w:cs="Arial" w:eastAsia="Arial" w:hAnsi="Arial"/>
          <w:b/>
          <w:bCs/>
          <w:i/>
          <w:iCs/>
          <w:color w:val="444444"/>
          <w:sz w:val="23"/>
          <w:szCs w:val="23"/>
        </w:rPr>
        <w:t xml:space="preserve">GAO-24-106187 (DoD EHR, 2024)</w:t>
      </w:r>
    </w:p>
    <w:p>
      <w:pPr>
        <w:spacing w:after="80" w:before="80"/>
        <w:jc w:val="left"/>
      </w:pPr>
      <w:r>
        <w:rPr>
          <w:rFonts w:ascii="Arial" w:cs="Arial" w:eastAsia="Arial" w:hAnsi="Arial"/>
          <w:b w:val="false"/>
          <w:bCs w:val="false"/>
          <w:i w:val="false"/>
          <w:iCs w:val="false"/>
          <w:color w:val="000000"/>
          <w:sz w:val="22"/>
          <w:szCs w:val="22"/>
        </w:rPr>
        <w:t xml:space="preserve">This report, 'Electronic Health Records: DOD Has Deployed New System but Challenges Remain,' documents the MHS GENESIS deployment across military treatment facilities. Relevant clinical data to investigate includes: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Clinical workflow disruption reports from military healthcare providers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Pharmacy and medication management error rates post-deployment</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Data on system outages at deployed sites and associated patient care impacts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Issue resolution timelines for clinically significant EHR defects</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Even if the GAO reports do not provide explicit clinical outcome statistics — which is common, as GAO audits are programmatic, not clinical — the search is still worth conducting. If incident data is present, cite it directly. If it is not, see Plan B below.</w:t>
      </w:r>
    </w:p>
    <w:p>
      <w:pPr>
        <w:pStyle w:val="Heading2"/>
        <w:spacing w:after="120" w:before="240"/>
      </w:pPr>
      <w:r>
        <w:rPr>
          <w:rFonts w:ascii="Arial" w:cs="Arial" w:eastAsia="Arial" w:hAnsi="Arial"/>
          <w:b/>
          <w:bCs/>
          <w:color w:val="2E75B6"/>
          <w:sz w:val="26"/>
          <w:szCs w:val="26"/>
        </w:rPr>
        <w:t xml:space="preserve">2.3 Plan B: When the GAO Data Isn’t There — The Absence Finding</w:t>
      </w:r>
    </w:p>
    <w:p>
      <w:pPr>
        <w:spacing w:after="100" w:before="80"/>
        <w:jc w:val="left"/>
      </w:pPr>
      <w:r>
        <w:rPr>
          <w:rFonts w:ascii="Arial" w:cs="Arial" w:eastAsia="Arial" w:hAnsi="Arial"/>
          <w:b w:val="false"/>
          <w:bCs w:val="false"/>
          <w:i w:val="false"/>
          <w:iCs w:val="false"/>
          <w:color w:val="000000"/>
          <w:sz w:val="22"/>
          <w:szCs w:val="22"/>
        </w:rPr>
        <w:t xml:space="preserve">The most likely outcome of searching the GAO reports is that they do not contain specific clinical outcome statistics. GAO audits are fundamentally programmatic and fiscal instruments: they assess whether agencies are spending money efficiently, meeting contract milestones, and following governance procedures. They are not designed to capture mortality rates, diagnostic error counts, or medication adverse event frequencies. The author should anticipate this gap and be prepared to convert it into an argument rather than retreat from it.</w:t>
      </w:r>
    </w:p>
    <w:p>
      <w:pPr>
        <w:spacing w:after="100" w:before="80"/>
        <w:jc w:val="left"/>
      </w:pPr>
      <w:r>
        <w:rPr>
          <w:rFonts w:ascii="Arial" w:cs="Arial" w:eastAsia="Arial" w:hAnsi="Arial"/>
          <w:b w:val="false"/>
          <w:bCs w:val="false"/>
          <w:i w:val="false"/>
          <w:iCs w:val="false"/>
          <w:color w:val="000000"/>
          <w:sz w:val="22"/>
          <w:szCs w:val="22"/>
        </w:rPr>
        <w:t xml:space="preserve">The core reframing: the absence of clinical outcome data in a multi-year federal audit of a $10+ billion EHR program is not a null result — it is a substantive finding about the state of federal oversight. It means that the U.S. government has spent a decade auditing the VA/DoD EHR program's schedule, cost, and governance, but has not established a systematic clinical outcome monitoring framework to determine whether patients are receiving measurably safer care as a result of the investment.</w:t>
      </w:r>
    </w:p>
    <w:p>
      <w:pPr>
        <w:spacing w:after="80" w:before="80"/>
        <w:jc w:val="left"/>
      </w:pPr>
      <w:r>
        <w:rPr>
          <w:rFonts w:ascii="Arial" w:cs="Arial" w:eastAsia="Arial" w:hAnsi="Arial"/>
          <w:b w:val="false"/>
          <w:bCs w:val="false"/>
          <w:i w:val="false"/>
          <w:iCs w:val="false"/>
          <w:color w:val="000000"/>
          <w:sz w:val="22"/>
          <w:szCs w:val="22"/>
        </w:rPr>
        <w:t xml:space="preserve">This framing accomplishes three things simultaneously:</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It converts the search outcome from a dead end into an independent finding that supports the paper’s argument</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It positions the absence of outcome monitoring as a governance failure, consistent with the paper’s critique of the VA/DoD’s Organizational Execution (O = Low–Medium)</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It makes the Constructive case for the U-T-I-O-OM extension even stronger: if federal oversight doesn’t track clinical outcomes, an academic framework that explicitly requires outcome validation becomes a contribution to governance design, not just to IS research</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Plan B Language for the Discussion Section (if GAO reports lack clinical outcome data):</w:t>
            </w:r>
          </w:p>
          <w:p>
            <w:pPr>
              <w:spacing w:after="60" w:before="0"/>
            </w:pPr>
            <w:r>
              <w:rPr>
                <w:rFonts w:ascii="Arial" w:cs="Arial" w:eastAsia="Arial" w:hAnsi="Arial"/>
                <w:sz w:val="22"/>
                <w:szCs w:val="22"/>
              </w:rPr>
              <w:t xml:space="preserve">"Notably, the GAO audit series for both the VA [3] and DoD [4] EHR programs — representing the most comprehensive federal oversight of a combined $10+ billion healthcare IT investment — does not establish a systematic clinical outcome monitoring framework. Audit findings focus on schedule adherence, contract governance, cost performance, and user satisfaction scores, but do not report on adverse event rates, diagnostic error frequencies, or patient safety incident trends attributable to EHR configuration. This oversight architecture reflects a broader gap in U.S. federal eHealth governance: structural accountability (Is the system deployed on time and on budget?) is tracked rigorously, while clinical accountability (Are patients safer?) is not. The U-T-I-O-OM extension proposed in this paper directly addresses this gap by embedding Outcome Metrics as a required validation layer — one that existing oversight frameworks conspicuously omit."</w:t>
            </w:r>
          </w:p>
        </w:tc>
      </w:tr>
    </w:tbl>
    <w:p>
      <w:pPr>
        <w:spacing w:after="0" w:before="100"/>
      </w:pPr>
    </w:p>
    <w:p>
      <w:pPr>
        <w:spacing w:after="120" w:before="80"/>
        <w:jc w:val="left"/>
      </w:pPr>
      <w:r>
        <w:rPr>
          <w:rFonts w:ascii="Arial" w:cs="Arial" w:eastAsia="Arial" w:hAnsi="Arial"/>
          <w:b w:val="false"/>
          <w:bCs w:val="false"/>
          <w:i w:val="false"/>
          <w:iCs w:val="false"/>
          <w:color w:val="000000"/>
          <w:sz w:val="22"/>
          <w:szCs w:val="22"/>
        </w:rPr>
        <w:t xml:space="preserve">This reframing is both intellectually honest and strategically superior to a simple citation of incident data: it argues that the very absence of such data is symptomatic of the systemic problem the paper is solving. A peer reviewer who challenges the lack of clinical outcome data in the paper is, under this framing, making the author’s argument for them.</w:t>
      </w:r>
    </w:p>
    <w:p>
      <w:pPr>
        <w:pStyle w:val="Heading2"/>
        <w:spacing w:after="120" w:before="240"/>
      </w:pPr>
      <w:r>
        <w:rPr>
          <w:rFonts w:ascii="Arial" w:cs="Arial" w:eastAsia="Arial" w:hAnsi="Arial"/>
          <w:b/>
          <w:bCs/>
          <w:color w:val="2E75B6"/>
          <w:sz w:val="26"/>
          <w:szCs w:val="26"/>
        </w:rPr>
        <w:t xml:space="preserve">2.4 Estonia and NHS: The Counterfactual</w:t>
      </w:r>
    </w:p>
    <w:p>
      <w:pPr>
        <w:spacing w:after="100" w:before="80"/>
        <w:jc w:val="left"/>
      </w:pPr>
      <w:r>
        <w:rPr>
          <w:rFonts w:ascii="Arial" w:cs="Arial" w:eastAsia="Arial" w:hAnsi="Arial"/>
          <w:b w:val="false"/>
          <w:bCs w:val="false"/>
          <w:i w:val="false"/>
          <w:iCs w:val="false"/>
          <w:color w:val="000000"/>
          <w:sz w:val="22"/>
          <w:szCs w:val="22"/>
        </w:rPr>
        <w:t xml:space="preserve">The investigative approach applies equally to the high-performing cases. If the primary sources for Estonia's eHealth system contain clinical outcome data (e.g., reduction in duplicate prescriptions, improvement in care coordination metrics, or chronic disease management outcomes), these numbers provide the positive evidence the paper currently lacks.</w:t>
      </w:r>
    </w:p>
    <w:p>
      <w:pPr>
        <w:spacing w:after="80" w:before="80"/>
        <w:jc w:val="left"/>
      </w:pPr>
      <w:r>
        <w:rPr>
          <w:rFonts w:ascii="Arial" w:cs="Arial" w:eastAsia="Arial" w:hAnsi="Arial"/>
          <w:b w:val="false"/>
          <w:bCs w:val="false"/>
          <w:i w:val="false"/>
          <w:iCs w:val="false"/>
          <w:color w:val="000000"/>
          <w:sz w:val="22"/>
          <w:szCs w:val="22"/>
        </w:rPr>
        <w:t xml:space="preserve">Estonia's e-Estonia portal and associated academic publications have reported 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Reduction in duplicate laboratory tests following nationwide EHR adoption</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Improvement in chronic disease monitoring (diabetes, hypertension) through integrated patient summaries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Emergency department data exchange reducing repeat imaging studies</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Similarly, NHS Shared Care Record pilot sites have published early outcome data on care coordination improvements. If these can be linked to cases where U-T-I-O alignment is high, the model's predictive power extends from structural to clinical.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Recommended Investigative Action (Estonia/NHS):</w:t>
            </w:r>
          </w:p>
          <w:p>
            <w:pPr>
              <w:spacing w:after="60" w:before="0"/>
            </w:pPr>
            <w:r>
              <w:rPr>
                <w:rFonts w:ascii="Arial" w:cs="Arial" w:eastAsia="Arial" w:hAnsi="Arial"/>
                <w:sz w:val="22"/>
                <w:szCs w:val="22"/>
              </w:rPr>
              <w:t xml:space="preserve">Search PubMed for: (Estonia OR "e-Estonia") AND ("electronic health record" OR eHealth) AND (outcome OR "patient safety" OR "clinical outcome"). Retrieve any publications citing measurable clinical improvements attributable to the X-Road integrated eHealth system.</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For NHS: search NHS England's Shared Care Records evaluation reports for early clinical impact data from pilot regions (e.g., Dorset, Yorkshire).</w:t>
            </w:r>
          </w:p>
        </w:tc>
      </w:tr>
    </w:tbl>
    <w:p>
      <w:pPr>
        <w:spacing w:after="0" w:before="200"/>
      </w:pP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Part III — The Constructive Approach: Proposing the Outcome Metrics (OM) Layer</w:t>
      </w:r>
    </w:p>
    <w:p>
      <w:pPr>
        <w:pStyle w:val="Heading2"/>
        <w:spacing w:after="120" w:before="240"/>
      </w:pPr>
      <w:r>
        <w:rPr>
          <w:rFonts w:ascii="Arial" w:cs="Arial" w:eastAsia="Arial" w:hAnsi="Arial"/>
          <w:b/>
          <w:bCs/>
          <w:color w:val="2E75B6"/>
          <w:sz w:val="26"/>
          <w:szCs w:val="26"/>
        </w:rPr>
        <w:t xml:space="preserve">3.1 The Theoretical Gap: Leading vs. Lagging Indicators</w:t>
      </w:r>
    </w:p>
    <w:p>
      <w:pPr>
        <w:spacing w:after="80" w:before="80"/>
        <w:jc w:val="left"/>
      </w:pPr>
      <w:r>
        <w:rPr>
          <w:rFonts w:ascii="Arial" w:cs="Arial" w:eastAsia="Arial" w:hAnsi="Arial"/>
          <w:b w:val="false"/>
          <w:bCs w:val="false"/>
          <w:i w:val="false"/>
          <w:iCs w:val="false"/>
          <w:color w:val="000000"/>
          <w:sz w:val="22"/>
          <w:szCs w:val="22"/>
        </w:rPr>
        <w:t xml:space="preserve">The U-T-I-O Model, as currently constituted, is a framework of leading indicators. Each domain measures conditions that predict whether a system is likely to succeed: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User Readiness: Is the workforce prepared? (Leading — measured before/during deployment)</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Technical Interoperability: Does the architecture enable data exchange? (Leading)</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Institutional Alignment: Does the policy environment support adoption? (Leading)</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Organizational Execution: Is the implementation team capable? (Leading)</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Leading indicators are inherently predictive but not confirmatory. They tell you whether a system will likely work; they do not tell you whether it did work in ways that matter clinically. To complete the validation loop, the model requires a layer of lagging indicators — outcome metrics measured after deployment that confirm whether the model's predictions translated into patient benefit.</w:t>
      </w:r>
    </w:p>
    <w:p>
      <w:pPr>
        <w:pStyle w:val="Heading2"/>
        <w:spacing w:after="120" w:before="240"/>
      </w:pPr>
      <w:r>
        <w:rPr>
          <w:rFonts w:ascii="Arial" w:cs="Arial" w:eastAsia="Arial" w:hAnsi="Arial"/>
          <w:b/>
          <w:bCs/>
          <w:color w:val="2E75B6"/>
          <w:sz w:val="26"/>
          <w:szCs w:val="26"/>
        </w:rPr>
        <w:t xml:space="preserve">3.2 The Proposed Extension: Outcome Metrics (OM) Layer</w:t>
      </w:r>
    </w:p>
    <w:p>
      <w:pPr>
        <w:spacing w:after="100" w:before="80"/>
        <w:jc w:val="left"/>
      </w:pPr>
      <w:r>
        <w:rPr>
          <w:rFonts w:ascii="Arial" w:cs="Arial" w:eastAsia="Arial" w:hAnsi="Arial"/>
          <w:b w:val="false"/>
          <w:bCs w:val="false"/>
          <w:i w:val="false"/>
          <w:iCs w:val="false"/>
          <w:color w:val="000000"/>
          <w:sz w:val="22"/>
          <w:szCs w:val="22"/>
        </w:rPr>
        <w:t xml:space="preserve">The formal proposal is to extend the U-T-I-O Model into a five-component validation framework: U-T-I-O-OM, where OM (Outcome Metrics) represents a set of domain-linked clinical and operational outcome indicators that serve as the final validation layer for deployment value.</w:t>
      </w:r>
    </w:p>
    <w:p>
      <w:pPr>
        <w:spacing w:after="140" w:before="80"/>
        <w:jc w:val="left"/>
      </w:pPr>
      <w:r>
        <w:rPr>
          <w:rFonts w:ascii="Arial" w:cs="Arial" w:eastAsia="Arial" w:hAnsi="Arial"/>
          <w:b w:val="false"/>
          <w:bCs w:val="false"/>
          <w:i w:val="false"/>
          <w:iCs w:val="false"/>
          <w:color w:val="000000"/>
          <w:sz w:val="22"/>
          <w:szCs w:val="22"/>
        </w:rPr>
        <w:t xml:space="preserve">Critically, the OM layer does not replace or modify the four existing domains. It extends them as a validation instrument. The U-T-I-O assessment remains the readiness and diagnostic tool; the OM assessment is conducted 12–24 months post-deployment to confirm whether the predicted alignment translated into realized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80"/>
        <w:gridCol w:w="38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U-T-I-O Domain</w:t>
            </w:r>
          </w:p>
        </w:tc>
        <w:tc>
          <w:tcPr>
            <w:tcW w:type="dxa" w:w="32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Leading Indicator (Current Model)</w:t>
            </w:r>
          </w:p>
        </w:tc>
        <w:tc>
          <w:tcPr>
            <w:tcW w:type="dxa" w:w="38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1"/>
                <w:szCs w:val="21"/>
              </w:rPr>
              <w:t xml:space="preserve">Proposed Lagging Indicator (OM Layer)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Readiness (U)</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Training completion rate; usability scores (SUS); clinician satisfaction surveys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Alert fatigue incident rate; documentation time per encounter; clinician-attributed near-miss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Interoperability (T)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FHIR API uptime; HL7 compliance scores; data completeness audits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Duplicate medication orders prevented; cross-site record retrieval success rate; diagnostic delay rate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Institutional Alignment (I)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Policy adoption rate; regulatory audit pass rate; information governance frameworks enacted</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Reduction in information-blocking complaints; population-level screening uptake change; care plan adherence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Organizational Execution (O)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milestone attainment; vendor governance scorecard; change-management coverage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Post-go-live adverse event rate change; readmission rate (30-day); time-to-diagnosis after system deployment</w:t>
            </w:r>
          </w:p>
        </w:tc>
      </w:tr>
    </w:tbl>
    <w:p>
      <w:pPr>
        <w:spacing w:after="0" w:before="160"/>
      </w:pPr>
    </w:p>
    <w:p>
      <w:pPr>
        <w:pStyle w:val="Heading2"/>
        <w:spacing w:after="120" w:before="240"/>
      </w:pPr>
      <w:r>
        <w:rPr>
          <w:rFonts w:ascii="Arial" w:cs="Arial" w:eastAsia="Arial" w:hAnsi="Arial"/>
          <w:b/>
          <w:bCs/>
          <w:color w:val="2E75B6"/>
          <w:sz w:val="26"/>
          <w:szCs w:val="26"/>
        </w:rPr>
        <w:t xml:space="preserve">3.3 The Complexity-Utility Trade-off: Designing for Adoption</w:t>
      </w:r>
    </w:p>
    <w:p>
      <w:pPr>
        <w:spacing w:after="100" w:before="80"/>
        <w:jc w:val="left"/>
      </w:pPr>
      <w:r>
        <w:rPr>
          <w:rFonts w:ascii="Arial" w:cs="Arial" w:eastAsia="Arial" w:hAnsi="Arial"/>
          <w:b w:val="false"/>
          <w:bCs w:val="false"/>
          <w:i w:val="false"/>
          <w:iCs w:val="false"/>
          <w:color w:val="000000"/>
          <w:sz w:val="22"/>
          <w:szCs w:val="22"/>
        </w:rPr>
        <w:t xml:space="preserve">The most credible objection a practitioner-reviewer will raise against the OM extension is not theoretical but practical: does adding a fifth validation layer make the model too complex to use in real healthcare settings? This is a legitimate concern. Frameworks that are rigorous in academic papers but unusable in operational contexts do not change practice. The complexity-utility trade-off must be addressed proactively, not left for reviewers to discover.</w:t>
      </w:r>
    </w:p>
    <w:p>
      <w:pPr>
        <w:spacing w:after="80" w:before="80"/>
        <w:jc w:val="left"/>
      </w:pPr>
      <w:r>
        <w:rPr>
          <w:rFonts w:ascii="Arial" w:cs="Arial" w:eastAsia="Arial" w:hAnsi="Arial"/>
          <w:b w:val="false"/>
          <w:bCs w:val="false"/>
          <w:i w:val="false"/>
          <w:iCs w:val="false"/>
          <w:color w:val="000000"/>
          <w:sz w:val="22"/>
          <w:szCs w:val="22"/>
        </w:rPr>
        <w:t xml:space="preserve">The resolution lies in clarifying the OM layer's intended deployment context. The U-T-I-O Model and the OM extension are not the same kind of instrument, used at the same time, by the same people. They operate at different phases of an implementation lifecycle and serve different users: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21"/>
                <w:szCs w:val="21"/>
              </w:rPr>
              <w:t xml:space="preserve">Component</w:t>
            </w:r>
          </w:p>
        </w:tc>
        <w:tc>
          <w:tcPr>
            <w:tcW w:type="dxa" w:w="252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21"/>
                <w:szCs w:val="21"/>
              </w:rPr>
              <w:t xml:space="preserve">Phase</w:t>
            </w:r>
          </w:p>
        </w:tc>
        <w:tc>
          <w:tcPr>
            <w:tcW w:type="dxa" w:w="252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21"/>
                <w:szCs w:val="21"/>
              </w:rPr>
              <w:t xml:space="preserve">Primary User</w:t>
            </w:r>
          </w:p>
        </w:tc>
        <w:tc>
          <w:tcPr>
            <w:tcW w:type="dxa" w:w="2520"/>
            <w:tcBorders>
              <w:top w:val="single" w:color="CCCCCC" w:sz="1"/>
              <w:left w:val="single" w:color="CCCCCC" w:sz="1"/>
              <w:bottom w:val="single" w:color="CCCCCC" w:sz="1"/>
              <w:right w:val="single" w:color="CCCCCC" w:sz="1"/>
            </w:tcBorders>
            <w:shd w:fill="2E75B6" w:val="clear"/>
            <w:tcMar>
              <w:top w:type="dxa" w:w="90"/>
              <w:left w:type="dxa" w:w="110"/>
              <w:bottom w:type="dxa" w:w="90"/>
              <w:right w:type="dxa" w:w="110"/>
            </w:tcMar>
            <w:vAlign w:val="center"/>
          </w:tcPr>
          <w:p>
            <w:pPr>
              <w:jc w:val="center"/>
            </w:pPr>
            <w:r>
              <w:rPr>
                <w:rFonts w:ascii="Arial" w:cs="Arial" w:eastAsia="Arial" w:hAnsi="Arial"/>
                <w:b/>
                <w:bCs/>
                <w:color w:val="FFFFFF"/>
                <w:sz w:val="21"/>
                <w:szCs w:val="21"/>
              </w:rPr>
              <w:t xml:space="preserve">Complexity Level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U-T-I-O</w:t>
            </w:r>
          </w:p>
        </w:tc>
        <w:tc>
          <w:tcPr>
            <w:tcW w:type="dxa" w:w="25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Pre-deployment readiness assessment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Health system leaders, CIOs, implementation architects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Moderate — four domains, qualitative scoring, operationalizable in a structured workshop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OM Layer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Post-deployment outcome validation (12–24 months)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Clinical informaticists, QI researchers, federal evaluators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Higher — requires data infrastructure and longitudinal measurement protocols</w:t>
            </w:r>
          </w:p>
        </w:tc>
      </w:tr>
    </w:tbl>
    <w:p>
      <w:pPr>
        <w:spacing w:after="0" w:before="140"/>
      </w:pPr>
    </w:p>
    <w:p>
      <w:pPr>
        <w:spacing w:after="100" w:before="80"/>
        <w:jc w:val="left"/>
      </w:pPr>
      <w:r>
        <w:rPr>
          <w:rFonts w:ascii="Arial" w:cs="Arial" w:eastAsia="Arial" w:hAnsi="Arial"/>
          <w:b w:val="false"/>
          <w:bCs w:val="false"/>
          <w:i w:val="false"/>
          <w:iCs w:val="false"/>
          <w:color w:val="000000"/>
          <w:sz w:val="22"/>
          <w:szCs w:val="22"/>
        </w:rPr>
        <w:t xml:space="preserve">The analogy is ISO 9001 quality management: the full certification framework is highly complex, requiring documented procedures, internal audits, and management reviews. The daily operational checklist a frontline manager uses is simple — it is derived from the framework but is not the framework itself. No one argues that ISO 9001 is too complex because its certification process is rigorous. Complexity in the validation instrument does not require equivalent complexity in the operational tool.</w:t>
      </w:r>
    </w:p>
    <w:p>
      <w:pPr>
        <w:spacing w:after="80" w:before="80"/>
        <w:jc w:val="left"/>
      </w:pPr>
      <w:r>
        <w:rPr>
          <w:rFonts w:ascii="Arial" w:cs="Arial" w:eastAsia="Arial" w:hAnsi="Arial"/>
          <w:b w:val="false"/>
          <w:bCs w:val="false"/>
          <w:i w:val="false"/>
          <w:iCs w:val="false"/>
          <w:color w:val="000000"/>
          <w:sz w:val="22"/>
          <w:szCs w:val="22"/>
        </w:rPr>
        <w:t xml:space="preserve">For the paper, this means the complexity objection can be preempted by framing the two components explicitly as a two-phase architecture: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Phase 1 (Readiness): U-T-I-O is the practitioner's tool — four domains, qualitative ratings, applicable in a structured pre-deployment assessment without specialized data infrastructure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Phase 2 (Validation): OM is the researcher's and evaluator's tool — domain-linked outcome metrics requiring EHR data extraction, statistical analysis, and longitudinal follow-up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Recommended Manuscript Language (to preempt the complexity objection in §3 or Limitations):</w:t>
            </w:r>
          </w:p>
          <w:p>
            <w:pPr>
              <w:spacing w:after="60" w:before="0"/>
            </w:pPr>
            <w:r>
              <w:rPr>
                <w:rFonts w:ascii="Arial" w:cs="Arial" w:eastAsia="Arial" w:hAnsi="Arial"/>
                <w:sz w:val="22"/>
                <w:szCs w:val="22"/>
              </w:rPr>
              <w:t xml:space="preserve">"The U-T-I-O-OM framework is deliberately structured as a two-phase architecture. The U-T-I-O component is a practitioner-oriented readiness instrument: its four domains can be assessed using structured evidence review, stakeholder interviews, and document analysis, without requiring specialized data infrastructure or longitudinal measurement capacity. The OM component is an evaluator-oriented validation instrument: it requires post-deployment data extraction from clinical systems, which presupposes the existence of the interoperable eHealth infrastructure that successful U-T-I-O alignment is designed to produce. This phasing ensures that the model's operational complexity does not frontload demands on implementing organizations; it grows with implementation maturity. A health system at the pre-deployment stage uses U-T-I-O. A health system 18 months post-deployment uses OM. The model thus embeds a natural complexity gradient aligned with the organization's own digital maturity trajectory."</w:t>
            </w:r>
          </w:p>
        </w:tc>
      </w:tr>
    </w:tbl>
    <w:p>
      <w:pPr>
        <w:spacing w:after="0" w:before="160"/>
      </w:pPr>
    </w:p>
    <w:p>
      <w:pPr>
        <w:pStyle w:val="Heading2"/>
        <w:spacing w:after="120" w:before="240"/>
      </w:pPr>
      <w:r>
        <w:rPr>
          <w:rFonts w:ascii="Arial" w:cs="Arial" w:eastAsia="Arial" w:hAnsi="Arial"/>
          <w:b/>
          <w:bCs/>
          <w:color w:val="2E75B6"/>
          <w:sz w:val="26"/>
          <w:szCs w:val="26"/>
        </w:rPr>
        <w:t xml:space="preserve">3.5 How This Extension Advances the Science</w:t>
      </w:r>
    </w:p>
    <w:p>
      <w:pPr>
        <w:spacing w:after="80" w:before="80"/>
        <w:jc w:val="left"/>
      </w:pPr>
      <w:r>
        <w:rPr>
          <w:rFonts w:ascii="Arial" w:cs="Arial" w:eastAsia="Arial" w:hAnsi="Arial"/>
          <w:b w:val="false"/>
          <w:bCs w:val="false"/>
          <w:i w:val="false"/>
          <w:iCs w:val="false"/>
          <w:color w:val="000000"/>
          <w:sz w:val="22"/>
          <w:szCs w:val="22"/>
        </w:rPr>
        <w:t xml:space="preserve">The OM extension moves the U-T-I-O Model through three stages of scientific maturity:</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Stage 1 (Current): Descriptive validation — the model correctly characterizes observed adoption patterns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Stage 2 (OM Extension, Near-Term): Predictive validation — prospective testing of whether U-T-I-O profiles predict clinical outcomes in new implementations</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Stage 3 (Full Maturity): Prescriptive validation — evidence that interventions targeting low-scoring domains produce measurable improvement in both adoption maturity and clinical outcomes</w:t>
      </w:r>
    </w:p>
    <w:p>
      <w:pPr>
        <w:spacing w:after="0" w:before="100"/>
      </w:pPr>
    </w:p>
    <w:p>
      <w:pPr>
        <w:spacing w:after="100" w:before="80"/>
        <w:jc w:val="left"/>
      </w:pPr>
      <w:r>
        <w:rPr>
          <w:rFonts w:ascii="Arial" w:cs="Arial" w:eastAsia="Arial" w:hAnsi="Arial"/>
          <w:b w:val="false"/>
          <w:bCs w:val="false"/>
          <w:i w:val="false"/>
          <w:iCs w:val="false"/>
          <w:color w:val="000000"/>
          <w:sz w:val="22"/>
          <w:szCs w:val="22"/>
        </w:rPr>
        <w:t xml:space="preserve">The paper currently sits at Stage 1, which is a legitimate and significant contribution. The OM extension creates the research roadmap for Stages 2 and 3 — and positions the author as the originator of the complete framework rather than the originator of one component of it.</w:t>
      </w:r>
    </w:p>
    <w:p>
      <w:pPr>
        <w:pStyle w:val="Heading2"/>
        <w:spacing w:after="120" w:before="240"/>
      </w:pPr>
      <w:r>
        <w:rPr>
          <w:rFonts w:ascii="Arial" w:cs="Arial" w:eastAsia="Arial" w:hAnsi="Arial"/>
          <w:b/>
          <w:bCs/>
          <w:color w:val="2E75B6"/>
          <w:sz w:val="26"/>
          <w:szCs w:val="26"/>
        </w:rPr>
        <w:t xml:space="preserve">3.6 Recommended Manuscript Language (Future Research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80" w:before="0"/>
            </w:pPr>
            <w:r>
              <w:rPr>
                <w:rFonts w:ascii="Arial" w:cs="Arial" w:eastAsia="Arial" w:hAnsi="Arial"/>
                <w:b/>
                <w:bCs/>
                <w:color w:val="1F3864"/>
                <w:sz w:val="22"/>
                <w:szCs w:val="22"/>
              </w:rPr>
              <w:t xml:space="preserve">Proposed Addition to Conclusion / Future Research:</w:t>
            </w:r>
          </w:p>
          <w:p>
            <w:pPr>
              <w:spacing w:after="60" w:before="0"/>
            </w:pPr>
            <w:r>
              <w:rPr>
                <w:rFonts w:ascii="Arial" w:cs="Arial" w:eastAsia="Arial" w:hAnsi="Arial"/>
                <w:sz w:val="22"/>
                <w:szCs w:val="22"/>
              </w:rPr>
              <w:t xml:space="preserve">"Third, and most consequentially for the model's clinical utility, the U-T-I-O framework is currently validated as a leading-indicator readiness tool. Future research should extend the model through the integration of Outcome Metrics (OM) — domain-linked lagging indicators that measure clinical and operational impact 12 to 24 months post-deployment. A proposed OM layer would pair each U-T-I-O domain with corresponding outcome measures: User Readiness with clinician-attributed adverse event rates and documentation burden; Technical Interoperability with duplicate order prevention rates and diagnostic delay; Institutional Alignment with population-level screening uptake and care plan adherence; and Organizational Execution with 30-day readmission rates and time-to-diagnosis changes attributable to EHR access. Prospective application of U-T-I-O-OM across matched implementation contexts — controlling for case mix, setting, and baseline health status — would establish the empirical link between adoption readiness and clinical value realization that the present study does not yet provide."</w:t>
            </w:r>
          </w:p>
        </w:tc>
      </w:tr>
    </w:tbl>
    <w:p>
      <w:pPr>
        <w:spacing w:after="0" w:before="200"/>
      </w:pP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Part IV — Synthesis: Prioritized Recommendations</w:t>
      </w:r>
    </w:p>
    <w:p>
      <w:pPr>
        <w:pStyle w:val="Heading2"/>
        <w:spacing w:after="120" w:before="240"/>
      </w:pPr>
      <w:r>
        <w:rPr>
          <w:rFonts w:ascii="Arial" w:cs="Arial" w:eastAsia="Arial" w:hAnsi="Arial"/>
          <w:b/>
          <w:bCs/>
          <w:color w:val="2E75B6"/>
          <w:sz w:val="26"/>
          <w:szCs w:val="26"/>
        </w:rPr>
        <w:t xml:space="preserve">4.1 Priority 1 — Acknowledge the Gap Explicitly (Critical Approach)</w:t>
      </w:r>
    </w:p>
    <w:p>
      <w:pPr>
        <w:spacing w:after="100" w:before="80"/>
        <w:jc w:val="left"/>
      </w:pPr>
      <w:r>
        <w:rPr>
          <w:rFonts w:ascii="Arial" w:cs="Arial" w:eastAsia="Arial" w:hAnsi="Arial"/>
          <w:b w:val="false"/>
          <w:bCs w:val="false"/>
          <w:i w:val="false"/>
          <w:iCs w:val="false"/>
          <w:color w:val="000000"/>
          <w:sz w:val="22"/>
          <w:szCs w:val="22"/>
        </w:rPr>
        <w:t xml:space="preserve">The paper's Limitations section currently identifies single-reviewer coding, English-language restriction, survivor bias, and PRISMA scope as the primary limitations. It does not explicitly acknowledge the structural vs. clinical validation distinction. This omission is likely to attract reviewer criticism in clinical informatics journals.</w:t>
      </w:r>
    </w:p>
    <w:p>
      <w:pPr>
        <w:spacing w:after="100" w:before="80"/>
        <w:jc w:val="left"/>
      </w:pPr>
      <w:r>
        <w:rPr>
          <w:rFonts w:ascii="Arial" w:cs="Arial" w:eastAsia="Arial" w:hAnsi="Arial"/>
          <w:b w:val="false"/>
          <w:bCs w:val="false"/>
          <w:i w:val="false"/>
          <w:iCs w:val="false"/>
          <w:color w:val="000000"/>
          <w:sz w:val="22"/>
          <w:szCs w:val="22"/>
        </w:rPr>
        <w:t xml:space="preserve">Recommendation: Add a sixth limitation acknowledging that the U-T-I-O Model demonstrates implementation readiness validity, not clinical outcome validity, and frame this as the primary next-research imperative. This pre-emptive acknowledgment is stronger than having a reviewer raise it first.</w:t>
      </w:r>
    </w:p>
    <w:p>
      <w:pPr>
        <w:pStyle w:val="Heading2"/>
        <w:spacing w:after="120" w:before="240"/>
      </w:pPr>
      <w:r>
        <w:rPr>
          <w:rFonts w:ascii="Arial" w:cs="Arial" w:eastAsia="Arial" w:hAnsi="Arial"/>
          <w:b/>
          <w:bCs/>
          <w:color w:val="2E75B6"/>
          <w:sz w:val="26"/>
          <w:szCs w:val="26"/>
        </w:rPr>
        <w:t xml:space="preserve">4.2 Priority 2 — Return to Primary Sources (Investigative Approach)</w:t>
      </w:r>
    </w:p>
    <w:p>
      <w:pPr>
        <w:spacing w:after="100" w:before="80"/>
        <w:jc w:val="left"/>
      </w:pPr>
      <w:r>
        <w:rPr>
          <w:rFonts w:ascii="Arial" w:cs="Arial" w:eastAsia="Arial" w:hAnsi="Arial"/>
          <w:b w:val="false"/>
          <w:bCs w:val="false"/>
          <w:i w:val="false"/>
          <w:iCs w:val="false"/>
          <w:color w:val="000000"/>
          <w:sz w:val="22"/>
          <w:szCs w:val="22"/>
        </w:rPr>
        <w:t xml:space="preserve">Before submission, the author should access GAO-25-108091 and GAO-24-106187 directly and search for clinical outcome data (patient safety incidents, error rates, workflow impact metrics). Even one or two quantitative clinical findings from these reports, surfaced in the Discussion, would substantially strengthen the VA/DoD case analysis and begin to bridge the structural-to-clinical gap.</w:t>
      </w:r>
    </w:p>
    <w:p>
      <w:pPr>
        <w:spacing w:after="100" w:before="80"/>
        <w:jc w:val="left"/>
      </w:pPr>
      <w:r>
        <w:rPr>
          <w:rFonts w:ascii="Arial" w:cs="Arial" w:eastAsia="Arial" w:hAnsi="Arial"/>
          <w:b w:val="false"/>
          <w:bCs w:val="false"/>
          <w:i w:val="false"/>
          <w:iCs w:val="false"/>
          <w:color w:val="000000"/>
          <w:sz w:val="22"/>
          <w:szCs w:val="22"/>
        </w:rPr>
        <w:t xml:space="preserve">If clinical outcome data is not present in the GAO reports, this absence is itself documentable and arguable: a finding that federal oversight of a $10B healthcare program has not established clinical outcome monitoring is a substantive critique of the monitoring framework — and an argument for why the U-T-I-O-OM extension is needed.</w:t>
      </w:r>
    </w:p>
    <w:p>
      <w:pPr>
        <w:pStyle w:val="Heading2"/>
        <w:spacing w:after="120" w:before="240"/>
      </w:pPr>
      <w:r>
        <w:rPr>
          <w:rFonts w:ascii="Arial" w:cs="Arial" w:eastAsia="Arial" w:hAnsi="Arial"/>
          <w:b/>
          <w:bCs/>
          <w:color w:val="2E75B6"/>
          <w:sz w:val="26"/>
          <w:szCs w:val="26"/>
        </w:rPr>
        <w:t xml:space="preserve">4.3 Priority 3 — Propose the OM Extension (Constructive Approach)</w:t>
      </w:r>
    </w:p>
    <w:p>
      <w:pPr>
        <w:spacing w:after="100" w:before="80"/>
        <w:jc w:val="left"/>
      </w:pPr>
      <w:r>
        <w:rPr>
          <w:rFonts w:ascii="Arial" w:cs="Arial" w:eastAsia="Arial" w:hAnsi="Arial"/>
          <w:b w:val="false"/>
          <w:bCs w:val="false"/>
          <w:i w:val="false"/>
          <w:iCs w:val="false"/>
          <w:color w:val="000000"/>
          <w:sz w:val="22"/>
          <w:szCs w:val="22"/>
        </w:rPr>
        <w:t xml:space="preserve">The Outcome Metrics extension should be introduced in the Conclusion or Future Research section as a formal proposal, not merely a suggestion. Frame it as the logical next phase of the model's development — one that the author is positioned to lead. This transforms the gap from a weakness into a research agenda.</w:t>
      </w:r>
    </w:p>
    <w:p>
      <w:pPr>
        <w:spacing w:after="100" w:before="80"/>
        <w:jc w:val="left"/>
      </w:pPr>
      <w:r>
        <w:rPr>
          <w:rFonts w:ascii="Arial" w:cs="Arial" w:eastAsia="Arial" w:hAnsi="Arial"/>
          <w:b w:val="false"/>
          <w:bCs w:val="false"/>
          <w:i w:val="false"/>
          <w:iCs w:val="false"/>
          <w:color w:val="000000"/>
          <w:sz w:val="22"/>
          <w:szCs w:val="22"/>
        </w:rPr>
        <w:t xml:space="preserve">The OM extension also provides a concrete answer to the question any clinician or health system leader will ask: 'If I invest in achieving high U-T-I-O alignment, what clinical returns should I expect?' Without the OM layer, the model's answer is 'your adoption will go better.' With it, the answer becomes 'your adoption will go better, and here is how to measure whether patients benefit.'</w:t>
      </w:r>
    </w:p>
    <w:p>
      <w:pPr>
        <w:pStyle w:val="Heading2"/>
        <w:spacing w:after="120" w:before="240"/>
      </w:pPr>
      <w:r>
        <w:rPr>
          <w:rFonts w:ascii="Arial" w:cs="Arial" w:eastAsia="Arial" w:hAnsi="Arial"/>
          <w:b/>
          <w:bCs/>
          <w:color w:val="2E75B6"/>
          <w:sz w:val="26"/>
          <w:szCs w:val="26"/>
        </w:rPr>
        <w:t xml:space="preserve">4.4 Effort and Impact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040"/>
        <w:gridCol w:w="204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90"/>
              <w:left w:type="dxa" w:w="110"/>
              <w:bottom w:type="dxa" w:w="90"/>
              <w:right w:type="dxa" w:w="110"/>
            </w:tcMar>
          </w:tcPr>
          <w:p>
            <w:pPr>
              <w:jc w:val="center"/>
            </w:pPr>
            <w:r>
              <w:rPr>
                <w:rFonts w:ascii="Arial" w:cs="Arial" w:eastAsia="Arial" w:hAnsi="Arial"/>
                <w:b/>
                <w:bCs/>
                <w:color w:val="FFFFFF"/>
                <w:sz w:val="21"/>
                <w:szCs w:val="21"/>
              </w:rPr>
              <w:t xml:space="preserve">Action</w:t>
            </w:r>
          </w:p>
        </w:tc>
        <w:tc>
          <w:tcPr>
            <w:tcW w:type="dxa" w:w="2280"/>
            <w:tcBorders>
              <w:top w:val="single" w:color="CCCCCC" w:sz="1"/>
              <w:left w:val="single" w:color="CCCCCC" w:sz="1"/>
              <w:bottom w:val="single" w:color="CCCCCC" w:sz="1"/>
              <w:right w:val="single" w:color="CCCCCC" w:sz="1"/>
            </w:tcBorders>
            <w:shd w:fill="1F3864" w:val="clear"/>
            <w:tcMar>
              <w:top w:type="dxa" w:w="90"/>
              <w:left w:type="dxa" w:w="110"/>
              <w:bottom w:type="dxa" w:w="90"/>
              <w:right w:type="dxa" w:w="110"/>
            </w:tcMar>
          </w:tcPr>
          <w:p>
            <w:pPr>
              <w:jc w:val="center"/>
            </w:pPr>
            <w:r>
              <w:rPr>
                <w:rFonts w:ascii="Arial" w:cs="Arial" w:eastAsia="Arial" w:hAnsi="Arial"/>
                <w:b/>
                <w:bCs/>
                <w:color w:val="FFFFFF"/>
                <w:sz w:val="21"/>
                <w:szCs w:val="21"/>
              </w:rPr>
              <w:t xml:space="preserve">Approach</w:t>
            </w:r>
          </w:p>
        </w:tc>
        <w:tc>
          <w:tcPr>
            <w:tcW w:type="dxa" w:w="2040"/>
            <w:tcBorders>
              <w:top w:val="single" w:color="CCCCCC" w:sz="1"/>
              <w:left w:val="single" w:color="CCCCCC" w:sz="1"/>
              <w:bottom w:val="single" w:color="CCCCCC" w:sz="1"/>
              <w:right w:val="single" w:color="CCCCCC" w:sz="1"/>
            </w:tcBorders>
            <w:shd w:fill="1F3864" w:val="clear"/>
            <w:tcMar>
              <w:top w:type="dxa" w:w="90"/>
              <w:left w:type="dxa" w:w="110"/>
              <w:bottom w:type="dxa" w:w="90"/>
              <w:right w:type="dxa" w:w="110"/>
            </w:tcMar>
          </w:tcPr>
          <w:p>
            <w:pPr>
              <w:jc w:val="center"/>
            </w:pPr>
            <w:r>
              <w:rPr>
                <w:rFonts w:ascii="Arial" w:cs="Arial" w:eastAsia="Arial" w:hAnsi="Arial"/>
                <w:b/>
                <w:bCs/>
                <w:color w:val="FFFFFF"/>
                <w:sz w:val="21"/>
                <w:szCs w:val="21"/>
              </w:rPr>
              <w:t xml:space="preserve">Manuscript Effort</w:t>
            </w:r>
          </w:p>
        </w:tc>
        <w:tc>
          <w:tcPr>
            <w:tcW w:type="dxa" w:w="2040"/>
            <w:tcBorders>
              <w:top w:val="single" w:color="CCCCCC" w:sz="1"/>
              <w:left w:val="single" w:color="CCCCCC" w:sz="1"/>
              <w:bottom w:val="single" w:color="CCCCCC" w:sz="1"/>
              <w:right w:val="single" w:color="CCCCCC" w:sz="1"/>
            </w:tcBorders>
            <w:shd w:fill="1F3864" w:val="clear"/>
            <w:tcMar>
              <w:top w:type="dxa" w:w="90"/>
              <w:left w:type="dxa" w:w="110"/>
              <w:bottom w:type="dxa" w:w="90"/>
              <w:right w:type="dxa" w:w="110"/>
            </w:tcMar>
          </w:tcPr>
          <w:p>
            <w:pPr>
              <w:jc w:val="center"/>
            </w:pPr>
            <w:r>
              <w:rPr>
                <w:rFonts w:ascii="Arial" w:cs="Arial" w:eastAsia="Arial" w:hAnsi="Arial"/>
                <w:b/>
                <w:bCs/>
                <w:color w:val="FFFFFF"/>
                <w:sz w:val="21"/>
                <w:szCs w:val="21"/>
              </w:rPr>
              <w:t xml:space="preserve">Review Impact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Add explicit limitation on clinical vs. structural validation</w:t>
            </w:r>
          </w:p>
        </w:tc>
        <w:tc>
          <w:tcPr>
            <w:tcW w:type="dxa" w:w="22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Critical</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Low (1–2 sentences)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Search GAO reports for clinical outcome data; deploy Plan B if absent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Investigative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Medium (1–2 hours research)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Search PubMed for Estonia/NHS clinical outcome studies</w:t>
            </w:r>
          </w:p>
        </w:tc>
        <w:tc>
          <w:tcPr>
            <w:tcW w:type="dxa" w:w="22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Investigative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Medium (2–3 hours)</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Medium–High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Add Plan B 'absence finding' argument to VA/DoD Discussion</w:t>
            </w:r>
          </w:p>
        </w:tc>
        <w:tc>
          <w:tcPr>
            <w:tcW w:type="dxa" w:w="22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Investigative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Low (1 paragraph)</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Add OM layer proposal to Conclusion/Future Research</w:t>
            </w:r>
          </w:p>
        </w:tc>
        <w:tc>
          <w:tcPr>
            <w:tcW w:type="dxa" w:w="22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Constructive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Low (1 paragraph)</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Add complexity-utility framing to Limitations or §3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Constructive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Low (1–2 sentences)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sz w:val="20"/>
                <w:szCs w:val="20"/>
              </w:rPr>
              <w:t xml:space="preserve">Medium–High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Update abstract Conclusions line to reference OM gap</w:t>
            </w:r>
          </w:p>
        </w:tc>
        <w:tc>
          <w:tcPr>
            <w:tcW w:type="dxa" w:w="228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All three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Low (1 sentence)</w:t>
            </w:r>
          </w:p>
        </w:tc>
        <w:tc>
          <w:tcPr>
            <w:tcW w:type="dxa" w:w="204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sz w:val="20"/>
                <w:szCs w:val="20"/>
              </w:rPr>
              <w:t xml:space="preserve">Medium</w:t>
            </w:r>
          </w:p>
        </w:tc>
      </w:tr>
    </w:tbl>
    <w:p>
      <w:pPr>
        <w:spacing w:after="0" w:before="200"/>
      </w:pPr>
    </w:p>
    <w:p>
      <w:pPr>
        <w:pBdr>
          <w:bottom w:val="single" w:color="2E75B6" w:sz="6" w:space="1"/>
        </w:pBdr>
        <w:spacing w:after="160" w:before="160"/>
      </w:pPr>
    </w:p>
    <w:p>
      <w:pPr>
        <w:pStyle w:val="Heading1"/>
        <w:spacing w:after="160" w:before="320"/>
      </w:pPr>
      <w:r>
        <w:rPr>
          <w:rFonts w:ascii="Arial" w:cs="Arial" w:eastAsia="Arial" w:hAnsi="Arial"/>
          <w:b/>
          <w:bCs/>
          <w:color w:val="1F3864"/>
          <w:sz w:val="32"/>
          <w:szCs w:val="32"/>
        </w:rPr>
        <w:t xml:space="preserve">Closing Note</w:t>
      </w:r>
    </w:p>
    <w:p>
      <w:pPr>
        <w:spacing w:after="100" w:before="80"/>
        <w:jc w:val="left"/>
      </w:pPr>
      <w:r>
        <w:rPr>
          <w:rFonts w:ascii="Arial" w:cs="Arial" w:eastAsia="Arial" w:hAnsi="Arial"/>
          <w:b w:val="false"/>
          <w:bCs w:val="false"/>
          <w:i w:val="false"/>
          <w:iCs w:val="false"/>
          <w:color w:val="000000"/>
          <w:sz w:val="22"/>
          <w:szCs w:val="22"/>
        </w:rPr>
        <w:t xml:space="preserve">The paper's central contribution — the U-T-I-O Model — is original, theoretically grounded, and practically useful. The gap identified in this review is not a reason to delay submission; it is a reason to frame the paper's scope precisely and its future research agenda ambitiously. A paper that clearly states what it has proven, what it has not yet proven, and exactly how the next study should be designed is stronger than one that overstates its conclusions or leaves gaps for reviewers to find.</w:t>
      </w:r>
    </w:p>
    <w:p>
      <w:pPr>
        <w:spacing w:after="200" w:before="80"/>
        <w:jc w:val="left"/>
      </w:pPr>
      <w:r>
        <w:rPr>
          <w:rFonts w:ascii="Arial" w:cs="Arial" w:eastAsia="Arial" w:hAnsi="Arial"/>
          <w:b w:val="false"/>
          <w:bCs w:val="false"/>
          <w:i w:val="false"/>
          <w:iCs w:val="false"/>
          <w:color w:val="000000"/>
          <w:sz w:val="22"/>
          <w:szCs w:val="22"/>
        </w:rPr>
        <w:t xml:space="preserve">The three approaches combined give the author a complete toolkit: the language to acknowledge the gap (Critical), the evidence to partially bridge it before submission (Investigative), and the framework to lead the research that will close it definitively (Constructive). None of these requires a new clinical trial. All of them are executable before submission.</w:t>
      </w:r>
    </w:p>
    <w:p>
      <w:pPr>
        <w:pBdr>
          <w:bottom w:val="single" w:color="2E75B6" w:sz="6" w:space="1"/>
        </w:pBdr>
        <w:spacing w:after="160" w:before="160"/>
      </w:pPr>
    </w:p>
    <w:p>
      <w:pPr>
        <w:spacing w:after="0" w:before="120"/>
        <w:jc w:val="center"/>
      </w:pPr>
      <w:r>
        <w:rPr>
          <w:rFonts w:ascii="Arial" w:cs="Arial" w:eastAsia="Arial" w:hAnsi="Arial"/>
          <w:i/>
          <w:iCs/>
          <w:color w:val="888888"/>
          <w:sz w:val="19"/>
          <w:szCs w:val="19"/>
        </w:rPr>
        <w:t xml:space="preserve">End of Phase 2 Self-Review — Confidential Working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120"/>
      <w:jc w:val="center"/>
    </w:pPr>
    <w:r>
      <w:rPr>
        <w:rFonts w:ascii="Arial" w:cs="Arial" w:eastAsia="Arial" w:hAnsi="Arial"/>
        <w:color w:val="888888"/>
        <w:sz w:val="18"/>
        <w:szCs w:val="18"/>
      </w:rPr>
      <w:t xml:space="preserve">Adams, J. (2026) — Confidential Self-Review Draft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before="0"/>
      <w:jc w:val="right"/>
    </w:pPr>
    <w:r>
      <w:rPr>
        <w:rFonts w:ascii="Arial" w:cs="Arial" w:eastAsia="Arial" w:hAnsi="Arial"/>
        <w:color w:val="888888"/>
        <w:sz w:val="18"/>
        <w:szCs w:val="18"/>
      </w:rPr>
      <w:t xml:space="preserve">Self-Review | U-T-I-O Model — Clinical Validation Gap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2026-05-06T03:44:32.542Z</dcterms:created>
  <dcterms:modified xsi:type="dcterms:W3CDTF">2026-05-06T03:44:32.542Z</dcterms:modified>
</cp:coreProperties>
</file>

<file path=docProps/custom.xml><?xml version="1.0" encoding="utf-8"?>
<Properties xmlns="http://schemas.openxmlformats.org/officeDocument/2006/custom-properties" xmlns:vt="http://schemas.openxmlformats.org/officeDocument/2006/docPropsVTypes"/>
</file>