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ind w:left="0" w:right="0"/>
      </w:pPr>
      <w:r>
        <w:rPr>
          <w:rFonts w:ascii="Arial" w:cs="Arial" w:eastAsia="Arial" w:hAnsi="Arial"/>
          <w:b/>
          <w:bCs/>
          <w:color w:val="FFFFFF"/>
          <w:sz w:val="36"/>
          <w:szCs w:val="36"/>
        </w:rPr>
        <w:t xml:space="preserve">PRISMA 2020 CHECKLIST — COMPLETED</w:t>
      </w:r>
    </w:p>
    <w:p>
      <w:pPr>
        <w:spacing w:after="40" w:before="80"/>
      </w:pPr>
      <w:r>
        <w:rPr>
          <w:rFonts w:ascii="Arial" w:cs="Arial" w:eastAsia="Arial" w:hAnsi="Arial"/>
          <w:b/>
          <w:bCs/>
          <w:color w:val="1F3864"/>
          <w:sz w:val="22"/>
          <w:szCs w:val="22"/>
        </w:rPr>
        <w:t xml:space="preserve">Determinants of eHealth Systems Adoption: A Systematic Review and Multi-Case Analysis</w:t>
      </w:r>
    </w:p>
    <w:p>
      <w:pPr>
        <w:spacing w:after="120" w:before="0"/>
      </w:pPr>
      <w:r>
        <w:rPr>
          <w:rFonts w:ascii="Arial" w:cs="Arial" w:eastAsia="Arial" w:hAnsi="Arial"/>
          <w:color w:val="595959"/>
          <w:sz w:val="18"/>
          <w:szCs w:val="18"/>
        </w:rPr>
        <w:t xml:space="preserve">Author: Dr. Adams  |  Target Journal: International Journal of Medical Informatics (Elsevier)  |  April 2026</w:t>
      </w:r>
    </w:p>
    <w:p>
      <w:pPr>
        <w:pBdr>
          <w:left w:val="single" w:color="2E75B6" w:sz="12"/>
        </w:pBdr>
        <w:shd w:fill="D6E4F0" w:val="clear"/>
        <w:spacing w:after="120" w:before="120" w:line="270"/>
        <w:ind w:left="360" w:right="360"/>
      </w:pPr>
      <w:r>
        <w:rPr>
          <w:rFonts w:ascii="Arial" w:cs="Arial" w:eastAsia="Arial" w:hAnsi="Arial"/>
          <w:color w:val="333333"/>
          <w:sz w:val="18"/>
          <w:szCs w:val="18"/>
        </w:rPr>
        <w:t xml:space="preserve">Guidance note: Items marked N/A relate to quantitative meta-analysis procedures not applicable to this qualitative thematic synthesis. Items marked ⚠️ are partially addressed and require a sentence or note added to the manuscript before submission. Items marked ℹ️ require author declarations (typically in the cover letter or a dedicated section). Citation: Page MJ et al. The PRISMA 2020 statement. BMJ 2021;372:n71.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tcPr>
          <w:p>
            <w:pPr>
              <w:jc w:val="center"/>
            </w:pPr>
            <w:r>
              <w:rPr>
                <w:rFonts w:ascii="Arial" w:cs="Arial" w:eastAsia="Arial" w:hAnsi="Arial"/>
                <w:color w:val="333333"/>
                <w:sz w:val="17"/>
                <w:szCs w:val="17"/>
              </w:rPr>
              <w:t xml:space="preserve">✅  Fully reported</w:t>
            </w:r>
          </w:p>
        </w:tc>
        <w:tc>
          <w:tcPr>
            <w:tcW w:type="dxa" w:w="2340"/>
            <w:tcBorders>
              <w:top w:val="none" w:color="FFFFFF" w:sz="0"/>
              <w:left w:val="none" w:color="FFFFFF" w:sz="0"/>
              <w:bottom w:val="none" w:color="FFFFFF" w:sz="0"/>
              <w:right w:val="none" w:color="FFFFFF" w:sz="0"/>
            </w:tcBorders>
            <w:shd w:fill="FFF3CD" w:val="clear"/>
            <w:tcMar>
              <w:top w:type="dxa" w:w="60"/>
              <w:left w:type="dxa" w:w="120"/>
              <w:bottom w:type="dxa" w:w="60"/>
              <w:right w:type="dxa" w:w="120"/>
            </w:tcMar>
          </w:tcPr>
          <w:p>
            <w:pPr>
              <w:jc w:val="center"/>
            </w:pPr>
            <w:r>
              <w:rPr>
                <w:rFonts w:ascii="Arial" w:cs="Arial" w:eastAsia="Arial" w:hAnsi="Arial"/>
                <w:color w:val="333333"/>
                <w:sz w:val="17"/>
                <w:szCs w:val="17"/>
              </w:rPr>
              <w:t xml:space="preserve">⚠️  Partially reported / action needed</w:t>
            </w:r>
          </w:p>
        </w:tc>
        <w:tc>
          <w:tcPr>
            <w:tcW w:type="dxa" w:w="234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color w:val="333333"/>
                <w:sz w:val="17"/>
                <w:szCs w:val="17"/>
              </w:rPr>
              <w:t xml:space="preserve">ℹ️  Note / declaration required</w:t>
            </w:r>
          </w:p>
        </w:tc>
        <w:tc>
          <w:tcPr>
            <w:tcW w:type="dxa" w:w="2340"/>
            <w:tcBorders>
              <w:top w:val="none" w:color="FFFFFF" w:sz="0"/>
              <w:left w:val="none" w:color="FFFFFF" w:sz="0"/>
              <w:bottom w:val="none" w:color="FFFFFF" w:sz="0"/>
              <w:right w:val="none" w:color="FFFFFF" w:sz="0"/>
            </w:tcBorders>
            <w:shd w:fill="EFEFEF" w:val="clear"/>
            <w:tcMar>
              <w:top w:type="dxa" w:w="60"/>
              <w:left w:type="dxa" w:w="120"/>
              <w:bottom w:type="dxa" w:w="60"/>
              <w:right w:type="dxa" w:w="120"/>
            </w:tcMar>
          </w:tcPr>
          <w:p>
            <w:pPr>
              <w:jc w:val="center"/>
            </w:pPr>
            <w:r>
              <w:rPr>
                <w:rFonts w:ascii="Arial" w:cs="Arial" w:eastAsia="Arial" w:hAnsi="Arial"/>
                <w:color w:val="333333"/>
                <w:sz w:val="17"/>
                <w:szCs w:val="17"/>
              </w:rPr>
              <w:t xml:space="preserve">—  Not applicable (qualitative synthesis)</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
        <w:gridCol w:w="4820"/>
        <w:gridCol w:w="230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spacing w:after="0" w:before="0" w:line="250"/>
              <w:jc w:val="left"/>
            </w:pPr>
            <w:r>
              <w:rPr>
                <w:rFonts w:ascii="Arial" w:cs="Arial" w:eastAsia="Arial" w:hAnsi="Arial"/>
                <w:b/>
                <w:bCs/>
                <w:color w:val="FFFFFF"/>
                <w:sz w:val="18"/>
                <w:szCs w:val="18"/>
              </w:rPr>
              <w:t xml:space="preserve">Section / Topic</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spacing w:after="0" w:before="0" w:line="250"/>
              <w:jc w:val="center"/>
            </w:pPr>
            <w:r>
              <w:rPr>
                <w:rFonts w:ascii="Arial" w:cs="Arial" w:eastAsia="Arial" w:hAnsi="Arial"/>
                <w:b/>
                <w:bCs/>
                <w:color w:val="FFFFFF"/>
                <w:sz w:val="18"/>
                <w:szCs w:val="18"/>
              </w:rPr>
              <w:t xml:space="preserve">#</w:t>
            </w:r>
          </w:p>
        </w:tc>
        <w:tc>
          <w:tcPr>
            <w:tcW w:type="dxa" w:w="4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spacing w:after="0" w:before="0" w:line="250"/>
              <w:jc w:val="left"/>
            </w:pPr>
            <w:r>
              <w:rPr>
                <w:rFonts w:ascii="Arial" w:cs="Arial" w:eastAsia="Arial" w:hAnsi="Arial"/>
                <w:b/>
                <w:bCs/>
                <w:color w:val="FFFFFF"/>
                <w:sz w:val="18"/>
                <w:szCs w:val="18"/>
              </w:rPr>
              <w:t xml:space="preserve">Checklist Item</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spacing w:after="0" w:before="0" w:line="250"/>
              <w:jc w:val="left"/>
            </w:pPr>
            <w:r>
              <w:rPr>
                <w:rFonts w:ascii="Arial" w:cs="Arial" w:eastAsia="Arial" w:hAnsi="Arial"/>
                <w:b/>
                <w:bCs/>
                <w:color w:val="FFFFFF"/>
                <w:sz w:val="18"/>
                <w:szCs w:val="18"/>
              </w:rPr>
              <w:t xml:space="preserve">Location in Manuscript</w:t>
            </w:r>
          </w:p>
        </w:tc>
      </w:tr>
      <w:tr>
        <w:tc>
          <w:tcPr>
            <w:gridSpan w:val="4"/>
            <w:tcBorders>
              <w:top w:val="single" w:color="1F3864" w:sz="1"/>
              <w:left w:val="single" w:color="1F3864" w:sz="1"/>
              <w:bottom w:val="single" w:color="1F3864" w:sz="1"/>
              <w:right w:val="single" w:color="1F3864" w:sz="1"/>
            </w:tcBorders>
            <w:shd w:fill="1F3864" w:val="clear"/>
            <w:tcMar>
              <w:top w:type="dxa" w:w="80"/>
              <w:left w:type="dxa" w:w="180"/>
              <w:bottom w:type="dxa" w:w="80"/>
              <w:right w:type="dxa" w:w="120"/>
            </w:tcMar>
          </w:tcPr>
          <w:p>
            <w:r>
              <w:rPr>
                <w:rFonts w:ascii="Arial" w:cs="Arial" w:eastAsia="Arial" w:hAnsi="Arial"/>
                <w:b/>
                <w:bCs/>
                <w:color w:val="FFFFFF"/>
                <w:sz w:val="20"/>
                <w:szCs w:val="20"/>
              </w:rPr>
              <w:t xml:space="preserve">TITLE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Title</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Identify the report as a systematic review.</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Title page — "Determinants of eHealth Systems Adoption: A Systematic Review and Multi-Case Analysis"</w:t>
            </w:r>
          </w:p>
        </w:tc>
      </w:tr>
      <w:tr>
        <w:tc>
          <w:tcPr>
            <w:gridSpan w:val="4"/>
            <w:tcBorders>
              <w:top w:val="single" w:color="1F3864" w:sz="1"/>
              <w:left w:val="single" w:color="1F3864" w:sz="1"/>
              <w:bottom w:val="single" w:color="1F3864" w:sz="1"/>
              <w:right w:val="single" w:color="1F3864" w:sz="1"/>
            </w:tcBorders>
            <w:shd w:fill="1F3864" w:val="clear"/>
            <w:tcMar>
              <w:top w:type="dxa" w:w="80"/>
              <w:left w:type="dxa" w:w="180"/>
              <w:bottom w:type="dxa" w:w="80"/>
              <w:right w:type="dxa" w:w="120"/>
            </w:tcMar>
          </w:tcPr>
          <w:p>
            <w:r>
              <w:rPr>
                <w:rFonts w:ascii="Arial" w:cs="Arial" w:eastAsia="Arial" w:hAnsi="Arial"/>
                <w:b/>
                <w:bCs/>
                <w:color w:val="FFFFFF"/>
                <w:sz w:val="20"/>
                <w:szCs w:val="20"/>
              </w:rPr>
              <w:t xml:space="preserve">ABSTRACT</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Abstract</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See the PRISMA 2020 for Abstracts checklist.</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Abstract — structured format: Background, Objective, Methods, Results, Conclusions (p. 1)</w:t>
            </w:r>
          </w:p>
        </w:tc>
      </w:tr>
      <w:tr>
        <w:tc>
          <w:tcPr>
            <w:gridSpan w:val="4"/>
            <w:tcBorders>
              <w:top w:val="single" w:color="1F3864" w:sz="1"/>
              <w:left w:val="single" w:color="1F3864" w:sz="1"/>
              <w:bottom w:val="single" w:color="1F3864" w:sz="1"/>
              <w:right w:val="single" w:color="1F3864" w:sz="1"/>
            </w:tcBorders>
            <w:shd w:fill="1F3864" w:val="clear"/>
            <w:tcMar>
              <w:top w:type="dxa" w:w="80"/>
              <w:left w:type="dxa" w:w="180"/>
              <w:bottom w:type="dxa" w:w="80"/>
              <w:right w:type="dxa" w:w="120"/>
            </w:tcMar>
          </w:tcPr>
          <w:p>
            <w:r>
              <w:rPr>
                <w:rFonts w:ascii="Arial" w:cs="Arial" w:eastAsia="Arial" w:hAnsi="Arial"/>
                <w:b/>
                <w:bCs/>
                <w:color w:val="FFFFFF"/>
                <w:sz w:val="20"/>
                <w:szCs w:val="20"/>
              </w:rPr>
              <w:t xml:space="preserve">INTRODUCTION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Rationale</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3</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Describe the rationale for the review in the context of existing knowledge.</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Introduction — paragraphs 2–4 describe the adoption paradox, prior framework limitations, and the gap motivating this review</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Objectives</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4</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Provide an explicit statement of the objective(s) or question(s) the review addresses.</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Introduction (final paragraph); Research Questions section (RQ1: determinants; RQ2: real-world reflection; RQ3: synthesis model)</w:t>
            </w:r>
          </w:p>
        </w:tc>
      </w:tr>
      <w:tr>
        <w:tc>
          <w:tcPr>
            <w:gridSpan w:val="4"/>
            <w:tcBorders>
              <w:top w:val="single" w:color="1F3864" w:sz="1"/>
              <w:left w:val="single" w:color="1F3864" w:sz="1"/>
              <w:bottom w:val="single" w:color="1F3864" w:sz="1"/>
              <w:right w:val="single" w:color="1F3864" w:sz="1"/>
            </w:tcBorders>
            <w:shd w:fill="1F3864" w:val="clear"/>
            <w:tcMar>
              <w:top w:type="dxa" w:w="80"/>
              <w:left w:type="dxa" w:w="180"/>
              <w:bottom w:type="dxa" w:w="80"/>
              <w:right w:type="dxa" w:w="120"/>
            </w:tcMar>
          </w:tcPr>
          <w:p>
            <w:r>
              <w:rPr>
                <w:rFonts w:ascii="Arial" w:cs="Arial" w:eastAsia="Arial" w:hAnsi="Arial"/>
                <w:b/>
                <w:bCs/>
                <w:color w:val="FFFFFF"/>
                <w:sz w:val="20"/>
                <w:szCs w:val="20"/>
              </w:rPr>
              <w:t xml:space="preserve">METHODS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Eligibility criteria</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5</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Specify the inclusion and exclusion criteria for the review and how studies were grouped for the syntheses.</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Methods — Inclusion and Exclusion Criteria subsections; criteria tabulated by study design, topic, date, language, and data type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Information sources</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6</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Specify all databases, registers, websites, organisations, reference lists and other sources searched or consulted to identify studies. Specify the date when each source was last searched or consulted.</w:t>
            </w:r>
          </w:p>
        </w:tc>
        <w:tc>
          <w:tcPr>
            <w:tcW w:type="dxa" w:w="2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0" w:before="0" w:line="250"/>
              <w:jc w:val="left"/>
            </w:pPr>
            <w:r>
              <w:rPr>
                <w:rFonts w:ascii="Arial" w:cs="Arial" w:eastAsia="Arial" w:hAnsi="Arial"/>
                <w:b/>
                <w:bCs/>
                <w:color w:val="C55A11"/>
                <w:sz w:val="17"/>
                <w:szCs w:val="17"/>
              </w:rPr>
              <w:t xml:space="preserve">Methods — Database Selection and Search Strategy: PubMed/MEDLINE, IEEE Xplore, Scopus. Search dates: 2015–2026. [Note: exact execution date to be added upon search completion]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Search strategy</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7</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Present the full search strategies for all databases, registers and websites, including any filters and limits used.</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Methods — Database Selection and Search Strategy: full Boolean query strings for PubMed, IEEE Xplore, and Scopus; filters and limits specified for each database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Selection process</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8</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Specify the methods used to decide whether a study met the inclusion criteria of the review, including how many reviewers screened each record and how they worked.</w:t>
            </w:r>
          </w:p>
        </w:tc>
        <w:tc>
          <w:tcPr>
            <w:tcW w:type="dxa" w:w="2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0" w:before="0" w:line="250"/>
              <w:jc w:val="left"/>
            </w:pPr>
            <w:r>
              <w:rPr>
                <w:rFonts w:ascii="Arial" w:cs="Arial" w:eastAsia="Arial" w:hAnsi="Arial"/>
                <w:b/>
                <w:bCs/>
                <w:color w:val="C55A11"/>
                <w:sz w:val="17"/>
                <w:szCs w:val="17"/>
              </w:rPr>
              <w:t xml:space="preserve">Methods — Screening and Data Extraction: title/abstract screening followed by full-text review; single-reviewer process; inclusion/exclusion criteria applied systematically. Limitation acknowledged in Limitations section.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Data collection process</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9</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Specify the methods used to collect data from reports, including how many reviewers collected data from each report, whether they worked independently, and any processes for obtaining data from study investigators.</w:t>
            </w:r>
          </w:p>
        </w:tc>
        <w:tc>
          <w:tcPr>
            <w:tcW w:type="dxa" w:w="2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0" w:before="0" w:line="250"/>
              <w:jc w:val="left"/>
            </w:pPr>
            <w:r>
              <w:rPr>
                <w:rFonts w:ascii="Arial" w:cs="Arial" w:eastAsia="Arial" w:hAnsi="Arial"/>
                <w:b/>
                <w:bCs/>
                <w:color w:val="C55A11"/>
                <w:sz w:val="17"/>
                <w:szCs w:val="17"/>
              </w:rPr>
              <w:t xml:space="preserve">Methods — Screening and Data Extraction: data extracted using U-T-I-O coding framework; single reviewer; evidence extraction matrix documents extracted items for all 17 retained sources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Data items — outcomes</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10a</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List and define all outcomes for which data were sought.</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Methods — Analytical Model: four outcome domains defined (U = User Readiness, T = Technical Interoperability, I = Institutional Alignment, O = Organizational Execution); sub-constructs listed in coding schema (Table)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Data items — other variables</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10b</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List and define all other variables for which data were sought (e.g. participant and intervention characteristics, funding sources).</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Evidence Extraction Matrix (Table): source type, publication year, primary domain focus, and key findings extracted for each included source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Study risk of bias assessment</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11</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Specify the methods used to assess risk of bias in the included studies, including details of the tool(s) used, how many reviewers assessed each study and whether they worked independently.</w:t>
            </w:r>
          </w:p>
        </w:tc>
        <w:tc>
          <w:tcPr>
            <w:tcW w:type="dxa" w:w="2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0" w:before="0" w:line="250"/>
              <w:jc w:val="left"/>
            </w:pPr>
            <w:r>
              <w:rPr>
                <w:rFonts w:ascii="Arial" w:cs="Arial" w:eastAsia="Arial" w:hAnsi="Arial"/>
                <w:b/>
                <w:bCs/>
                <w:color w:val="C55A11"/>
                <w:sz w:val="17"/>
                <w:szCs w:val="17"/>
              </w:rPr>
              <w:t xml:space="preserve">No formal risk-of-bias tool applied; source credibility assessed based on peer-review status, journal/publisher reputation, and methodological transparency. Rationale: heterogeneous study designs preclude standardised tool application. Acknowledged in Limitations section.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Effect measures</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12</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Specify for each outcome the effect measure(s) (e.g. risk ratio, mean difference) used in the synthesis or presentation of results.</w:t>
            </w:r>
          </w:p>
        </w:tc>
        <w:tc>
          <w:tcPr>
            <w:tcW w:type="dxa" w:w="2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888888"/>
                <w:sz w:val="17"/>
                <w:szCs w:val="17"/>
              </w:rPr>
              <w:t xml:space="preserve">N/A — qualitative thematic synthesis; no quantitative effect measures computed or pooled</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Synthesis methods — grouping</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13a</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Describe the processes used to decide which studies were eligible for each synthesis.</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Methods — Analytical Model: all retained sources coded against U-T-I-O domains; grouping determined by domain-level construct alignment as defined in the coding schema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Synthesis methods — data preparation</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13b</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Describe any methods required to prepare the data for presentation or synthesis.</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Methods — Screening and Data Extraction: thematic codes assigned per U-T-I-O domain; evidence extraction matrix used to standardise findings across heterogeneous source types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Synthesis methods — display</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13c</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Describe any methods used to tabulate or visually display results of individual studies and syntheses.</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Results: Evidence Extraction Matrix (Table); Comparative Case Analysis table; U-T-I-O Coding Schema table; PRISMA 2020 flow diagram (Figure)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Synthesis methods — statistical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13d</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Describe any methods used to synthesize results and provide a rationale for the choice(s). If meta-analysis was performed, describe the model(s) and software.</w:t>
            </w:r>
          </w:p>
        </w:tc>
        <w:tc>
          <w:tcPr>
            <w:tcW w:type="dxa" w:w="2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888888"/>
                <w:sz w:val="17"/>
                <w:szCs w:val="17"/>
              </w:rPr>
              <w:t xml:space="preserve">N/A — qualitative thematic synthesis; meta-analysis not conducted; narrative synthesis and framework-based domain coding used</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Synthesis methods — heterogeneity</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13e</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Describe any methods used to explore possible causes of heterogeneity among study results.</w:t>
            </w:r>
          </w:p>
        </w:tc>
        <w:tc>
          <w:tcPr>
            <w:tcW w:type="dxa" w:w="2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888888"/>
                <w:sz w:val="17"/>
                <w:szCs w:val="17"/>
              </w:rPr>
              <w:t xml:space="preserve">N/A — qualitative thematic synthesis; statistical heterogeneity not applicable; methodological diversity discussed narratively in Discussion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Synthesis methods — sensitivity</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13f</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Describe any sensitivity analyses conducted to assess robustness of the synthesized results.</w:t>
            </w:r>
          </w:p>
        </w:tc>
        <w:tc>
          <w:tcPr>
            <w:tcW w:type="dxa" w:w="2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888888"/>
                <w:sz w:val="17"/>
                <w:szCs w:val="17"/>
              </w:rPr>
              <w:t xml:space="preserve">N/A — qualitative thematic synthesis; sensitivity analysis not applicable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Reporting bias assessment</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14</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Describe any methods used to assess risk of bias due to missing results in a synthesis (arising from reporting biases).</w:t>
            </w:r>
          </w:p>
        </w:tc>
        <w:tc>
          <w:tcPr>
            <w:tcW w:type="dxa" w:w="2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0" w:before="0" w:line="250"/>
              <w:jc w:val="left"/>
            </w:pPr>
            <w:r>
              <w:rPr>
                <w:rFonts w:ascii="Arial" w:cs="Arial" w:eastAsia="Arial" w:hAnsi="Arial"/>
                <w:b/>
                <w:bCs/>
                <w:color w:val="C55A11"/>
                <w:sz w:val="17"/>
                <w:szCs w:val="17"/>
              </w:rPr>
              <w:t xml:space="preserve">Limitations section — publication bias acknowledged: studies reporting successful implementations may be disproportionately published; no formal funnel plot or Egger's test conducted (qualitative synthesis)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Certainty assessment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15</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Describe any methods used to assess certainty (or confidence) in the body of evidence for an outcome.</w:t>
            </w:r>
          </w:p>
        </w:tc>
        <w:tc>
          <w:tcPr>
            <w:tcW w:type="dxa" w:w="2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888888"/>
                <w:sz w:val="17"/>
                <w:szCs w:val="17"/>
              </w:rPr>
              <w:t xml:space="preserve">N/A — GRADE or equivalent certainty framework not applied; qualitative thematic synthesis; confidence in evidence discussed narratively in Limitations</w:t>
            </w:r>
          </w:p>
        </w:tc>
      </w:tr>
      <w:tr>
        <w:tc>
          <w:tcPr>
            <w:gridSpan w:val="4"/>
            <w:tcBorders>
              <w:top w:val="single" w:color="1F3864" w:sz="1"/>
              <w:left w:val="single" w:color="1F3864" w:sz="1"/>
              <w:bottom w:val="single" w:color="1F3864" w:sz="1"/>
              <w:right w:val="single" w:color="1F3864" w:sz="1"/>
            </w:tcBorders>
            <w:shd w:fill="1F3864" w:val="clear"/>
            <w:tcMar>
              <w:top w:type="dxa" w:w="80"/>
              <w:left w:type="dxa" w:w="180"/>
              <w:bottom w:type="dxa" w:w="80"/>
              <w:right w:type="dxa" w:w="120"/>
            </w:tcMar>
          </w:tcPr>
          <w:p>
            <w:r>
              <w:rPr>
                <w:rFonts w:ascii="Arial" w:cs="Arial" w:eastAsia="Arial" w:hAnsi="Arial"/>
                <w:b/>
                <w:bCs/>
                <w:color w:val="FFFFFF"/>
                <w:sz w:val="20"/>
                <w:szCs w:val="20"/>
              </w:rPr>
              <w:t xml:space="preserve">RESULTS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Study selection</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16a</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Describe the results of the search and selection process, ideally using a flow diagram.</w:t>
            </w:r>
          </w:p>
        </w:tc>
        <w:tc>
          <w:tcPr>
            <w:tcW w:type="dxa" w:w="2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0" w:before="0" w:line="250"/>
              <w:jc w:val="left"/>
            </w:pPr>
            <w:r>
              <w:rPr>
                <w:rFonts w:ascii="Arial" w:cs="Arial" w:eastAsia="Arial" w:hAnsi="Arial"/>
                <w:b/>
                <w:bCs/>
                <w:color w:val="C55A11"/>
                <w:sz w:val="17"/>
                <w:szCs w:val="17"/>
              </w:rPr>
              <w:t xml:space="preserve">Results — Evidence Base subsection: 17 sources retained for evidence extraction; PRISMA 2020 flow diagram presented as Figure. [Counts are projected pending formal database execution; noted in Methods]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Study selection — excluded</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16b</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Cite studies that might appear to meet the inclusion criteria, but which were excluded, and explain why.</w:t>
            </w:r>
          </w:p>
        </w:tc>
        <w:tc>
          <w:tcPr>
            <w:tcW w:type="dxa" w:w="2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0" w:before="0" w:line="250"/>
              <w:jc w:val="left"/>
            </w:pPr>
            <w:r>
              <w:rPr>
                <w:rFonts w:ascii="Arial" w:cs="Arial" w:eastAsia="Arial" w:hAnsi="Arial"/>
                <w:b/>
                <w:bCs/>
                <w:color w:val="C55A11"/>
                <w:sz w:val="17"/>
                <w:szCs w:val="17"/>
              </w:rPr>
              <w:t xml:space="preserve">Excluded studies not individually cited; exclusion rationale documented in Methods (Inclusion/Exclusion Criteria) and Limitations (reporting bias). Full exclusion log to be documented upon formal screening completion.</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Study characteristics</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17</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Cite each included study and present its characteristics.</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Evidence Extraction Matrix (Table): all 17 included sources cited with source type, publication year, U-T-I-O domain focus, and key findings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Risk of bias in studies</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18</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Present assessments of risk of bias for each included study.</w:t>
            </w:r>
          </w:p>
        </w:tc>
        <w:tc>
          <w:tcPr>
            <w:tcW w:type="dxa" w:w="2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after="0" w:before="0" w:line="250"/>
              <w:jc w:val="left"/>
            </w:pPr>
            <w:r>
              <w:rPr>
                <w:rFonts w:ascii="Arial" w:cs="Arial" w:eastAsia="Arial" w:hAnsi="Arial"/>
                <w:b/>
                <w:bCs/>
                <w:color w:val="C55A11"/>
                <w:sz w:val="17"/>
                <w:szCs w:val="17"/>
              </w:rPr>
              <w:t xml:space="preserve">Formal per-study risk of bias not assessed; source credibility assessment described in Methods and Limitations. Acknowledged as a study limitation.</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Results of individual studies</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19</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For all outcomes, present summary statistics and an effect estimate and its precision for each study.</w:t>
            </w:r>
          </w:p>
        </w:tc>
        <w:tc>
          <w:tcPr>
            <w:tcW w:type="dxa" w:w="2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888888"/>
                <w:sz w:val="17"/>
                <w:szCs w:val="17"/>
              </w:rPr>
              <w:t xml:space="preserve">N/A — qualitative thematic synthesis; no quantitative effect estimates; individual study findings presented in Evidence Extraction Matrix</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Results of syntheses — characteristics</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20a</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For each synthesis, briefly summarise the characteristics and risk of bias among contributing studies.</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Results — Systematic Review Findings: domain-level narrative summaries of contributing sources by U-T-I-O domain</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Results of syntheses — statistical</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20b</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Present results of all statistical syntheses. If meta-analysis done, present summary estimate, precision, and heterogeneity.</w:t>
            </w:r>
          </w:p>
        </w:tc>
        <w:tc>
          <w:tcPr>
            <w:tcW w:type="dxa" w:w="2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888888"/>
                <w:sz w:val="17"/>
                <w:szCs w:val="17"/>
              </w:rPr>
              <w:t xml:space="preserve">N/A — qualitative thematic synthesis; no meta-analysis conducted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Results of syntheses — heterogeneity</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20c</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Present results of all investigations of possible causes of heterogeneity among study results.</w:t>
            </w:r>
          </w:p>
        </w:tc>
        <w:tc>
          <w:tcPr>
            <w:tcW w:type="dxa" w:w="2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888888"/>
                <w:sz w:val="17"/>
                <w:szCs w:val="17"/>
              </w:rPr>
              <w:t xml:space="preserve">N/A — qualitative thematic synthesis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Results of syntheses — sensitivity</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20d</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Present results of all sensitivity analyses conducted to assess robustness of synthesized results.</w:t>
            </w:r>
          </w:p>
        </w:tc>
        <w:tc>
          <w:tcPr>
            <w:tcW w:type="dxa" w:w="2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888888"/>
                <w:sz w:val="17"/>
                <w:szCs w:val="17"/>
              </w:rPr>
              <w:t xml:space="preserve">N/A — qualitative thematic synthesis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Reporting biases</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21</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Present assessments of risk of bias due to missing results for each synthesis assessed.</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Limitations section — publication bias and survivor bias in case selection acknowledged and discussed</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Certainty of evidence</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22</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Present assessments of certainty (or confidence) in the body of evidence for each outcome assessed.</w:t>
            </w:r>
          </w:p>
        </w:tc>
        <w:tc>
          <w:tcPr>
            <w:tcW w:type="dxa" w:w="2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888888"/>
                <w:sz w:val="17"/>
                <w:szCs w:val="17"/>
              </w:rPr>
              <w:t xml:space="preserve">N/A — formal certainty grading (e.g. GRADE) not applied; qualitative synthesis; confidence in evidence discussed in Limitations</w:t>
            </w:r>
          </w:p>
        </w:tc>
      </w:tr>
      <w:tr>
        <w:tc>
          <w:tcPr>
            <w:gridSpan w:val="4"/>
            <w:tcBorders>
              <w:top w:val="single" w:color="1F3864" w:sz="1"/>
              <w:left w:val="single" w:color="1F3864" w:sz="1"/>
              <w:bottom w:val="single" w:color="1F3864" w:sz="1"/>
              <w:right w:val="single" w:color="1F3864" w:sz="1"/>
            </w:tcBorders>
            <w:shd w:fill="1F3864" w:val="clear"/>
            <w:tcMar>
              <w:top w:type="dxa" w:w="80"/>
              <w:left w:type="dxa" w:w="180"/>
              <w:bottom w:type="dxa" w:w="80"/>
              <w:right w:type="dxa" w:w="120"/>
            </w:tcMar>
          </w:tcPr>
          <w:p>
            <w:r>
              <w:rPr>
                <w:rFonts w:ascii="Arial" w:cs="Arial" w:eastAsia="Arial" w:hAnsi="Arial"/>
                <w:b/>
                <w:bCs/>
                <w:color w:val="FFFFFF"/>
                <w:sz w:val="20"/>
                <w:szCs w:val="20"/>
              </w:rPr>
              <w:t xml:space="preserve">DISCUSSION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Discussion — interpretation</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23a</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Provide a general interpretation of the results in the context of other evidence.</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Discussion — Synthesis of Findings; Cross-Case Comparative Insights; Theoretical Perspective: Market Dynamics and Ethical Alignment</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Discussion — limitations of evidence</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23b</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Discuss any limitations of the evidence included in the review.</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Limitations section — reporting bias, survivor bias, English-language restriction, reliance on publicly documented cases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Discussion — limitations of review</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23c</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Discuss any limitations of the review processes used.</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Limitations section — single-reviewer process, absence of formal risk-of-bias tool, domain abstraction level, confirmatory bias in framework application</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Discussion — implications</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23d</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Discuss implications of the results for practice, policy, and future research.</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Discussion — Research Questions Revisited; Implications for Interoperability Strategy; Practical Implications. Conclusion — future research directions (AI-enabled diagnostics, LMIC contexts)</w:t>
            </w:r>
          </w:p>
        </w:tc>
      </w:tr>
      <w:tr>
        <w:tc>
          <w:tcPr>
            <w:gridSpan w:val="4"/>
            <w:tcBorders>
              <w:top w:val="single" w:color="1F3864" w:sz="1"/>
              <w:left w:val="single" w:color="1F3864" w:sz="1"/>
              <w:bottom w:val="single" w:color="1F3864" w:sz="1"/>
              <w:right w:val="single" w:color="1F3864" w:sz="1"/>
            </w:tcBorders>
            <w:shd w:fill="1F3864" w:val="clear"/>
            <w:tcMar>
              <w:top w:type="dxa" w:w="80"/>
              <w:left w:type="dxa" w:w="180"/>
              <w:bottom w:type="dxa" w:w="80"/>
              <w:right w:type="dxa" w:w="120"/>
            </w:tcMar>
          </w:tcPr>
          <w:p>
            <w:r>
              <w:rPr>
                <w:rFonts w:ascii="Arial" w:cs="Arial" w:eastAsia="Arial" w:hAnsi="Arial"/>
                <w:b/>
                <w:bCs/>
                <w:color w:val="FFFFFF"/>
                <w:sz w:val="20"/>
                <w:szCs w:val="20"/>
              </w:rPr>
              <w:t xml:space="preserve">OTHER INFORMATION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Registration — number</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24a</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Provide registration information for the review, including register name and registration number, or state that the review was not registered.</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line="250"/>
              <w:jc w:val="left"/>
            </w:pPr>
            <w:r>
              <w:rPr>
                <w:rFonts w:ascii="Arial" w:cs="Arial" w:eastAsia="Arial" w:hAnsi="Arial"/>
                <w:b/>
                <w:bCs/>
                <w:color w:val="2E75B6"/>
                <w:sz w:val="17"/>
                <w:szCs w:val="17"/>
              </w:rPr>
              <w:t xml:space="preserve">This review was not pre-registered. [To be stated explicitly in Methods — Study Design subsection]</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Registration — protocol</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24b</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Indicate where the review protocol can be accessed, or state that a protocol was not prepared.</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line="250"/>
              <w:jc w:val="left"/>
            </w:pPr>
            <w:r>
              <w:rPr>
                <w:rFonts w:ascii="Arial" w:cs="Arial" w:eastAsia="Arial" w:hAnsi="Arial"/>
                <w:b/>
                <w:bCs/>
                <w:color w:val="2E75B6"/>
                <w:sz w:val="17"/>
                <w:szCs w:val="17"/>
              </w:rPr>
              <w:t xml:space="preserve">A formal protocol was not prepared prior to the review. The search strategy and methodology are documented in notes/search-strategy.md (repository). [To be stated in Methods]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Registration — amendments</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24c</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Describe and explain any amendments to information provided at registration or in the protocol.</w:t>
            </w:r>
          </w:p>
        </w:tc>
        <w:tc>
          <w:tcPr>
            <w:tcW w:type="dxa" w:w="2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888888"/>
                <w:sz w:val="17"/>
                <w:szCs w:val="17"/>
              </w:rPr>
              <w:t xml:space="preserve">N/A — review was not pre-registered; no protocol amendments applicable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Support</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25</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Describe sources of financial or non-financial support for the review, and the role of the funders or sponsors in the review.</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line="250"/>
              <w:jc w:val="left"/>
            </w:pPr>
            <w:r>
              <w:rPr>
                <w:rFonts w:ascii="Arial" w:cs="Arial" w:eastAsia="Arial" w:hAnsi="Arial"/>
                <w:b/>
                <w:bCs/>
                <w:color w:val="2E75B6"/>
                <w:sz w:val="17"/>
                <w:szCs w:val="17"/>
              </w:rPr>
              <w:t xml:space="preserve">This research received no external financial support. No funders or sponsors were involved in the study design, data collection, analysis, or reporting.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Competing interests</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26</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Declare any competing interests of review authors.</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line="250"/>
              <w:jc w:val="left"/>
            </w:pPr>
            <w:r>
              <w:rPr>
                <w:rFonts w:ascii="Arial" w:cs="Arial" w:eastAsia="Arial" w:hAnsi="Arial"/>
                <w:b/>
                <w:bCs/>
                <w:color w:val="2E75B6"/>
                <w:sz w:val="17"/>
                <w:szCs w:val="17"/>
              </w:rPr>
              <w:t xml:space="preserve">The author declares no competing interests.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bCs/>
                <w:color w:val="000000"/>
                <w:sz w:val="17"/>
                <w:szCs w:val="17"/>
              </w:rPr>
              <w:t xml:space="preserve">Data availability</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center"/>
            </w:pPr>
            <w:r>
              <w:rPr>
                <w:rFonts w:ascii="Arial" w:cs="Arial" w:eastAsia="Arial" w:hAnsi="Arial"/>
                <w:b/>
                <w:bCs/>
                <w:color w:val="000000"/>
                <w:sz w:val="17"/>
                <w:szCs w:val="17"/>
              </w:rPr>
              <w:t xml:space="preserve">27</w:t>
            </w:r>
          </w:p>
        </w:tc>
        <w:tc>
          <w:tcPr>
            <w:tcW w:type="dxa" w:w="4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line="250"/>
              <w:jc w:val="left"/>
            </w:pPr>
            <w:r>
              <w:rPr>
                <w:rFonts w:ascii="Arial" w:cs="Arial" w:eastAsia="Arial" w:hAnsi="Arial"/>
                <w:b w:val="false"/>
                <w:bCs w:val="false"/>
                <w:color w:val="000000"/>
                <w:sz w:val="17"/>
                <w:szCs w:val="17"/>
              </w:rPr>
              <w:t xml:space="preserve">Report which of the following are publicly available and where they can be found: data collection forms; data extracted from included studies; data used for analyses; analytic code; any other materials.</w:t>
            </w:r>
          </w:p>
        </w:tc>
        <w:tc>
          <w:tcPr>
            <w:tcW w:type="dxa" w:w="2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before="0" w:line="250"/>
              <w:jc w:val="left"/>
            </w:pPr>
            <w:r>
              <w:rPr>
                <w:rFonts w:ascii="Arial" w:cs="Arial" w:eastAsia="Arial" w:hAnsi="Arial"/>
                <w:b/>
                <w:bCs/>
                <w:color w:val="375623"/>
                <w:sz w:val="17"/>
                <w:szCs w:val="17"/>
              </w:rPr>
              <w:t xml:space="preserve">All primary sources used in this review are publicly available (peer-reviewed publications, government reports, institutional documentation). The evidence extraction matrix is available in the study repository. No proprietary data were used.</w:t>
            </w:r>
          </w:p>
        </w:tc>
      </w:tr>
    </w:tbl>
    <w:p>
      <w:pPr>
        <w:spacing w:after="80" w:before="80"/>
      </w:pPr>
      <w:r>
        <w:t xml:space="preserve"/>
      </w:r>
    </w:p>
    <w:p>
      <w:pPr>
        <w:spacing w:after="80" w:before="80"/>
      </w:pPr>
      <w:r>
        <w:t xml:space="preserve"/>
      </w:r>
    </w:p>
    <w:p>
      <w:pPr>
        <w:pBdr>
          <w:left w:val="single" w:color="C55A11" w:sz="12"/>
        </w:pBdr>
        <w:shd w:fill="FFF3CD" w:val="clear"/>
        <w:spacing w:after="120" w:before="120" w:line="270"/>
        <w:ind w:left="360" w:right="360"/>
      </w:pPr>
      <w:r>
        <w:rPr>
          <w:rFonts w:ascii="Arial" w:cs="Arial" w:eastAsia="Arial" w:hAnsi="Arial"/>
          <w:b/>
          <w:bCs/>
          <w:color w:val="C55A11"/>
          <w:sz w:val="18"/>
          <w:szCs w:val="18"/>
        </w:rPr>
        <w:t xml:space="preserve">Before submission: </w:t>
      </w:r>
      <w:r>
        <w:rPr>
          <w:rFonts w:ascii="Arial" w:cs="Arial" w:eastAsia="Arial" w:hAnsi="Arial"/>
          <w:color w:val="4A4A4A"/>
          <w:sz w:val="18"/>
          <w:szCs w:val="18"/>
        </w:rPr>
        <w:t xml:space="preserve">(1) Add a statement to Methods confirming the review was not pre-registered. (2) Confirm exact database search execution dates and update Item 6. (3) Add funding and competing interest declarations to the manuscript or cover letter (Items 25–26). (4) Attach this completed checklist as a supplementary file in Elsevier Editorial Manager.</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888888"/>
        <w:sz w:val="16"/>
        <w:szCs w:val="16"/>
      </w:rPr>
      <w:t xml:space="preserve">Dr. Adams  |  April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  From: Page MJ et al. BMJ 2021;372:n71. doi:10.1136/bmj.n71. CC BY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pPr>
    <w:r>
      <w:rPr>
        <w:rFonts w:ascii="Arial" w:cs="Arial" w:eastAsia="Arial" w:hAnsi="Arial"/>
        <w:color w:val="888888"/>
        <w:sz w:val="17"/>
        <w:szCs w:val="17"/>
      </w:rPr>
      <w:t xml:space="preserve">PRISMA 2020 Checklist — Completed   |   </w:t>
    </w:r>
    <w:r>
      <w:rPr>
        <w:rFonts w:ascii="Arial" w:cs="Arial" w:eastAsia="Arial" w:hAnsi="Arial"/>
        <w:color w:val="888888"/>
        <w:sz w:val="17"/>
        <w:szCs w:val="17"/>
      </w:rPr>
      <w:t xml:space="preserve">Determinants of eHealth Systems Adoption: A Systematic Review and Multi-Case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2026-04-29T01:18:56.702Z</dcterms:created>
  <dcterms:modified xsi:type="dcterms:W3CDTF">2026-04-29T01:18:56.705Z</dcterms:modified>
</cp:coreProperties>
</file>

<file path=docProps/custom.xml><?xml version="1.0" encoding="utf-8"?>
<Properties xmlns="http://schemas.openxmlformats.org/officeDocument/2006/custom-properties" xmlns:vt="http://schemas.openxmlformats.org/officeDocument/2006/docPropsVTypes"/>
</file>