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A3A5C"/>
          <w:sz w:val="48"/>
        </w:rPr>
        <w:t>MENA National Energy Rebound Analysis</w:t>
      </w:r>
    </w:p>
    <w:p>
      <w:pPr>
        <w:spacing w:after="400"/>
        <w:jc w:val="center"/>
      </w:pPr>
      <w:r>
        <w:rPr>
          <w:i/>
          <w:color w:val="2563A8"/>
          <w:sz w:val="26"/>
        </w:rPr>
        <w:t>Estimating National Energy Rebound Effects using Brockway et al. (2017)</w:t>
      </w:r>
    </w:p>
    <w:p>
      <w:pPr>
        <w:pBdr>
          <w:bottom w:val="single" w:sz="6" w:space="1" w:color="AAAAAA"/>
        </w:pBd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E8F0F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Countries</w:t>
            </w:r>
          </w:p>
        </w:tc>
        <w:tc>
          <w:tcPr>
            <w:tcW w:type="dxa" w:w="6236"/>
            <w:vAlign w:val="center"/>
            <w:shd w:val="clear" w:color="auto" w:fill="E8F0F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UAE · Egypt · Jordan · Tunisia · Morocco</w:t>
            </w:r>
          </w:p>
        </w:tc>
      </w:tr>
      <w:tr>
        <w:tc>
          <w:tcPr>
            <w:tcW w:type="dxa" w:w="2835"/>
            <w:vAlign w:val="center"/>
            <w:shd w:val="clear" w:color="auto" w:fill="F8FA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Time Period</w:t>
            </w:r>
          </w:p>
        </w:tc>
        <w:tc>
          <w:tcPr>
            <w:tcW w:type="dxa" w:w="6236"/>
            <w:vAlign w:val="center"/>
            <w:shd w:val="clear" w:color="auto" w:fill="F8FA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1990 – 2023  (34 years per country)</w:t>
            </w:r>
          </w:p>
        </w:tc>
      </w:tr>
      <w:tr>
        <w:tc>
          <w:tcPr>
            <w:tcW w:type="dxa" w:w="2835"/>
            <w:vAlign w:val="center"/>
            <w:shd w:val="clear" w:color="auto" w:fill="E8F0F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Methods</w:t>
            </w:r>
          </w:p>
        </w:tc>
        <w:tc>
          <w:tcPr>
            <w:tcW w:type="dxa" w:w="6236"/>
            <w:vAlign w:val="center"/>
            <w:shd w:val="clear" w:color="auto" w:fill="E8F0F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Method 1: AES/PES  |  Method 2: EEE (Brockway et al. 2017)</w:t>
            </w:r>
          </w:p>
        </w:tc>
      </w:tr>
      <w:tr>
        <w:tc>
          <w:tcPr>
            <w:tcW w:type="dxa" w:w="2835"/>
            <w:vAlign w:val="center"/>
            <w:shd w:val="clear" w:color="auto" w:fill="F8FA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Production Function</w:t>
            </w:r>
          </w:p>
        </w:tc>
        <w:tc>
          <w:tcPr>
            <w:tcW w:type="dxa" w:w="6236"/>
            <w:vAlign w:val="center"/>
            <w:shd w:val="clear" w:color="auto" w:fill="F8FA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Nested KL-E CES (3-factor, constant-returns)</w:t>
            </w:r>
          </w:p>
        </w:tc>
      </w:tr>
      <w:tr>
        <w:tc>
          <w:tcPr>
            <w:tcW w:type="dxa" w:w="2835"/>
            <w:vAlign w:val="center"/>
            <w:shd w:val="clear" w:color="auto" w:fill="E8F0F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Base Year</w:t>
            </w:r>
          </w:p>
        </w:tc>
        <w:tc>
          <w:tcPr>
            <w:tcW w:type="dxa" w:w="6236"/>
            <w:vAlign w:val="center"/>
            <w:shd w:val="clear" w:color="auto" w:fill="E8F0F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1990</w:t>
            </w:r>
          </w:p>
        </w:tc>
      </w:tr>
      <w:tr>
        <w:tc>
          <w:tcPr>
            <w:tcW w:type="dxa" w:w="2835"/>
            <w:vAlign w:val="center"/>
            <w:shd w:val="clear" w:color="auto" w:fill="F8FA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Cost Shares</w:t>
            </w:r>
          </w:p>
        </w:tc>
        <w:tc>
          <w:tcPr>
            <w:tcW w:type="dxa" w:w="6236"/>
            <w:vAlign w:val="center"/>
            <w:shd w:val="clear" w:color="auto" w:fill="F8FA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 = 0.08  |  sL = 0.46  |  sK = 0.46  |  Sum = 1.00 ✓</w:t>
            </w:r>
          </w:p>
        </w:tc>
      </w:tr>
      <w:tr>
        <w:tc>
          <w:tcPr>
            <w:tcW w:type="dxa" w:w="2835"/>
            <w:vAlign w:val="center"/>
            <w:shd w:val="clear" w:color="auto" w:fill="E8F0F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Data Source</w:t>
            </w:r>
          </w:p>
        </w:tc>
        <w:tc>
          <w:tcPr>
            <w:tcW w:type="dxa" w:w="6236"/>
            <w:vAlign w:val="center"/>
            <w:shd w:val="clear" w:color="auto" w:fill="E8F0F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PWT 11.0 (K, L, GDP)  |  OAPEC (Energy in Mtoe)</w:t>
            </w:r>
          </w:p>
        </w:tc>
      </w:tr>
      <w:tr>
        <w:tc>
          <w:tcPr>
            <w:tcW w:type="dxa" w:w="2835"/>
            <w:vAlign w:val="center"/>
            <w:shd w:val="clear" w:color="auto" w:fill="F8FA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Date</w:t>
            </w:r>
          </w:p>
        </w:tc>
        <w:tc>
          <w:tcPr>
            <w:tcW w:type="dxa" w:w="6236"/>
            <w:vAlign w:val="center"/>
            <w:shd w:val="clear" w:color="auto" w:fill="F8FA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June 2026</w:t>
            </w:r>
          </w:p>
        </w:tc>
      </w:tr>
    </w:tbl>
    <w:p/>
    <w:p>
      <w:pPr>
        <w:pStyle w:val="Heading2"/>
      </w:pPr>
      <w:r>
        <w:t>Rebound State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Rebound State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135"/>
            <w:vAlign w:val="center"/>
            <w:shd w:val="clear" w:color="auto" w:fill="B4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72B2"/>
                <w:sz w:val="18"/>
              </w:rPr>
              <w:t>Super-conservation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Re &lt; 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Energy falls faster than efficiency gains predict</w:t>
            </w:r>
          </w:p>
        </w:tc>
      </w:tr>
      <w:tr>
        <w:tc>
          <w:tcPr>
            <w:tcW w:type="dxa" w:w="3135"/>
            <w:vAlign w:val="center"/>
            <w:shd w:val="clear" w:color="auto" w:fill="B4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0% &lt; Re &lt; 100%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 efficiency gains offset by increased use</w:t>
            </w:r>
          </w:p>
        </w:tc>
      </w:tr>
      <w:tr>
        <w:tc>
          <w:tcPr>
            <w:tcW w:type="dxa" w:w="3135"/>
            <w:vAlign w:val="center"/>
            <w:shd w:val="clear" w:color="auto" w:fill="FFFFB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CCBB00"/>
                <w:sz w:val="18"/>
              </w:rPr>
              <w:t>Full rebound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Re = 100%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All efficiency gains completely offset</w:t>
            </w:r>
          </w:p>
        </w:tc>
      </w:tr>
      <w:tr>
        <w:tc>
          <w:tcPr>
            <w:tcW w:type="dxa" w:w="3135"/>
            <w:vAlign w:val="center"/>
            <w:shd w:val="clear" w:color="auto" w:fill="FFFFB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D55E00"/>
                <w:sz w:val="18"/>
              </w:rPr>
              <w:t>Backfire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Re &gt; 100%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Energy use rises beyond original pre-efficiency level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A5C"/>
        </w:rPr>
        <w:t>1. Introduction</w:t>
      </w:r>
    </w:p>
    <w:p>
      <w:pPr>
        <w:pBdr>
          <w:bottom w:val="single" w:sz="6" w:space="1" w:color="AAAAAA"/>
        </w:pBdr>
        <w:spacing w:after="120"/>
      </w:pPr>
    </w:p>
    <w:p>
      <w:pPr>
        <w:spacing w:after="100"/>
        <w:jc w:val="both"/>
      </w:pPr>
      <w:r>
        <w:rPr>
          <w:sz w:val="20"/>
        </w:rPr>
        <w:t>Energy efficiency improvements are often expected to reduce total energy consumption. However, the energy rebound effect describes the phenomenon by which some — or all — of the anticipated savings are offset by behavioural, economic, or structural responses. When the rebound exceeds 100%, a backfire is said to occur: energy use actually increases beyond the pre-efficiency baseline.</w:t>
      </w:r>
    </w:p>
    <w:p>
      <w:pPr>
        <w:spacing w:after="100"/>
        <w:jc w:val="both"/>
      </w:pPr>
      <w:r>
        <w:rPr>
          <w:sz w:val="20"/>
        </w:rPr>
        <w:t>This report estimates national-level energy rebound effects for five MENA economies — UAE, Egypt, Jordan, Tunisia, and Morocco — over 1990–2023, using the two complementary macroeconomic methods proposed by Brockway et al. (2017): the AES/PES method (Method 1) and the Energy-Economy-Environment (EEE) method (Method 2). Both methods require estimation of a nested constant-elasticity-of-substitution (CES) production function.</w:t>
      </w:r>
    </w:p>
    <w:p>
      <w:pPr>
        <w:pStyle w:val="Heading1"/>
      </w:pPr>
      <w:r>
        <w:rPr>
          <w:color w:val="1A3A5C"/>
        </w:rPr>
        <w:t>2. Data &amp; Assumptions</w:t>
      </w:r>
    </w:p>
    <w:p>
      <w:pPr>
        <w:pBdr>
          <w:bottom w:val="single" w:sz="6" w:space="1" w:color="AAAAAA"/>
        </w:pBdr>
        <w:spacing w:after="120"/>
      </w:pPr>
    </w:p>
    <w:p>
      <w:pPr>
        <w:spacing w:after="100"/>
        <w:jc w:val="both"/>
      </w:pPr>
      <w:r>
        <w:rPr>
          <w:sz w:val="20"/>
        </w:rPr>
        <w:t>Dataset: Sheet1 of the supplied Excel workbook (Data_Aya_Hussein_final.xlsx). After removing embedded header artefacts, 170 usable country-year observations remain (34 years × 5 countries, 1990–2023).</w:t>
      </w:r>
    </w:p>
    <w:p>
      <w:pPr>
        <w:pStyle w:val="ListBullet"/>
        <w:spacing w:after="60"/>
      </w:pPr>
      <w:r>
        <w:rPr>
          <w:sz w:val="20"/>
        </w:rPr>
        <w:t>Energy (Mtoe/yr) is used as a proxy for both primary energy and useful exergy — no separate exergy conversion dataset was available.</w:t>
      </w:r>
    </w:p>
    <w:p>
      <w:pPr>
        <w:pStyle w:val="ListBullet"/>
        <w:spacing w:after="60"/>
      </w:pPr>
      <w:r>
        <w:rPr>
          <w:sz w:val="20"/>
        </w:rPr>
        <w:t>All variables are normalised to 1990 = 1 as the base year: xt = Xt / X1990.</w:t>
      </w:r>
    </w:p>
    <w:p>
      <w:pPr>
        <w:pStyle w:val="ListBullet"/>
        <w:spacing w:after="60"/>
      </w:pPr>
      <w:r>
        <w:rPr>
          <w:sz w:val="20"/>
        </w:rPr>
        <w:t>sE = 0.08 applied uniformly across all five countries, consistent with Brockway et al. (2017) for developing economies.</w:t>
      </w:r>
    </w:p>
    <w:p>
      <w:pPr>
        <w:pStyle w:val="ListBullet"/>
        <w:spacing w:after="60"/>
      </w:pPr>
      <w:r>
        <w:rPr>
          <w:sz w:val="20"/>
        </w:rPr>
        <w:t>Labour income share = 0.50, implying sL = sK = 0.50 × (1 − sE) = 0.46.</w:t>
      </w:r>
    </w:p>
    <w:p>
      <w:pPr>
        <w:pStyle w:val="ListBullet"/>
        <w:spacing w:after="60"/>
      </w:pPr>
      <w:r>
        <w:rPr>
          <w:sz w:val="20"/>
        </w:rPr>
        <w:t>The embodied technical change parameter λ is treated as time-invariant for Method 1 annual rebound calculations.</w:t>
      </w:r>
    </w:p>
    <w:p/>
    <w:p>
      <w:pPr>
        <w:pStyle w:val="Heading2"/>
      </w:pPr>
      <w:r>
        <w:t>Cost Share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235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Formula</w:t>
            </w:r>
          </w:p>
        </w:tc>
        <w:tc>
          <w:tcPr>
            <w:tcW w:type="dxa" w:w="235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235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sE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Given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0.08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sL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0.50 × (1 − sE)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0.46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sK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0.50 × (1 − sE)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0.46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Sum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 + sL + sK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07B3F"/>
                <w:sz w:val="18"/>
              </w:rPr>
              <w:t>✓ Confirmed</w:t>
            </w:r>
          </w:p>
        </w:tc>
      </w:tr>
    </w:tbl>
    <w:p/>
    <w:p>
      <w:pPr>
        <w:pStyle w:val="Heading1"/>
      </w:pPr>
      <w:r>
        <w:rPr>
          <w:color w:val="1A3A5C"/>
        </w:rPr>
        <w:t>3. Production Function: Nested KL-E CES</w:t>
      </w:r>
    </w:p>
    <w:p>
      <w:pPr>
        <w:pBdr>
          <w:bottom w:val="single" w:sz="6" w:space="1" w:color="AAAAAA"/>
        </w:pBdr>
        <w:spacing w:after="120"/>
      </w:pPr>
    </w:p>
    <w:p>
      <w:pPr>
        <w:spacing w:after="100"/>
        <w:jc w:val="both"/>
      </w:pPr>
      <w:r>
        <w:rPr>
          <w:sz w:val="20"/>
        </w:rPr>
        <w:t>A nested constant-elasticity-of-substitution (CES) production function is fitted separately for each country using non-linear least squares (scipy.optimize.curve_fit). The functional form is:</w:t>
      </w:r>
    </w:p>
    <w:p>
      <w:pPr>
        <w:spacing w:before="120" w:after="120"/>
        <w:jc w:val="center"/>
        <w:shd w:val="clear" w:color="auto" w:fill="F0F4FF"/>
      </w:pPr>
      <w:r>
        <w:rPr>
          <w:i/>
          <w:sz w:val="22"/>
        </w:rPr>
        <w:t>yt = θ · exp(λ·t) · [δ₁ · (δ · kt^(−ρ₁) + (1−δ) · lt^(−ρ₁))^(ρ/ρ₁) + (1−δ₁) · ut^(−ρ)]^(−1/ρ)</w:t>
      </w:r>
    </w:p>
    <w:p>
      <w:pPr>
        <w:spacing w:after="100"/>
        <w:jc w:val="both"/>
      </w:pPr>
      <w:r>
        <w:rPr>
          <w:sz w:val="20"/>
        </w:rPr>
        <w:t>where lower-case variables are normalised to 1990, and t = year − 1990. Parameters: θ = TFP scale, λ = embodied technical change rate, δ = capital share in KL nest, δ₁ = KL-aggregate share vs Energy, ρ = KL-Energy substitution parameter (σ = 1/(1+ρ)), ρ₁ = K-L substitution parameter (σ₁ = 1/(1+ρ₁)).</w:t>
      </w:r>
    </w:p>
    <w:p>
      <w:pPr>
        <w:spacing w:after="100"/>
        <w:jc w:val="both"/>
      </w:pPr>
      <w:r>
        <w:rPr>
          <w:sz w:val="20"/>
        </w:rPr>
        <w:t>Fitting procedure: 50 random starting points per country; solution with lowest residual sum of squares (RSS) retained. 1000-sample residual bootstrap provides 95% confidence intervals for all parameters and derived elasticities.</w:t>
      </w:r>
    </w:p>
    <w:p>
      <w:r>
        <w:br w:type="page"/>
      </w:r>
    </w:p>
    <w:p>
      <w:pPr>
        <w:pStyle w:val="Heading1"/>
      </w:pPr>
      <w:r>
        <w:rPr>
          <w:color w:val="1A3A5C"/>
        </w:rPr>
        <w:t>4. Data Overview: Normalised Inputs &amp; Energy Intensity</w:t>
      </w:r>
    </w:p>
    <w:p>
      <w:pPr>
        <w:pBdr>
          <w:bottom w:val="single" w:sz="6" w:space="1" w:color="AAAAAA"/>
        </w:pBd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62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2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Figure 1. Normalised production function inputs (base year 1990 = 1). GDP (y) and Capital (k) show strong growth in all countries; Labour (l) diverges strongly in UAE due to rapid workforce expansion.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36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Figure 2. Energy intensity (EI = E/Y, toe per million US$) over time. A general declining trend confirms improving energy efficiency across all five economies.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8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Figure 3. Energy intensity comparison: 1990 vs 2023. Percentage change 1990→2023 annotated above each country pair.</w:t>
      </w:r>
    </w:p>
    <w:p/>
    <w:p>
      <w:pPr>
        <w:pStyle w:val="Heading2"/>
      </w:pPr>
      <w:r>
        <w:t>4.1 Normalised Variable Tables (First 3 &amp; Last 3 Years)</w:t>
      </w:r>
    </w:p>
    <w:p>
      <w:pPr>
        <w:pStyle w:val="Heading3"/>
      </w:pPr>
      <w:r>
        <w:t>UAE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 (GDP)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k (Capital)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l (Labour)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u (Energy)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EI (toe/Mn$)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150.1403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1.0086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1.0330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1.0670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1.1667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173.6724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1992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1.0423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1.0739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1.1349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1.2798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184.3396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3.5125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2.9399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6.1406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2.5100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107.2897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2022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3.7762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3.0596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6.2700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2.5793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102.5530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3.9129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3.1853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6.3466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2.6900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103.2159</w:t>
            </w:r>
          </w:p>
        </w:tc>
      </w:tr>
    </w:tbl>
    <w:p/>
    <w:p>
      <w:pPr>
        <w:pStyle w:val="Heading3"/>
      </w:pPr>
      <w:r>
        <w:t>Egypt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 (GDP)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k (Capital)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l (Labour)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u (Energy)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EI (toe/Mn$)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62.4801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1.0115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1.0299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1.0369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1.0282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63.5115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1992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1.0546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1.0535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1.0581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1.0208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60.4772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3.6033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3.5602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2.1115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2.9357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50.9049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2022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3.8431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3.7555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2.1685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3.0482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49.5571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3.9875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3.8651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2.2259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3.0348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47.5520</w:t>
            </w:r>
          </w:p>
        </w:tc>
      </w:tr>
    </w:tbl>
    <w:p/>
    <w:p>
      <w:pPr>
        <w:pStyle w:val="Heading3"/>
      </w:pPr>
      <w:r>
        <w:t>Jordan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 (GDP)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k (Capital)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l (Labour)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u (Energy)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EI (toe/Mn$)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112.3622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1.0161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1.0002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1.0956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0.9973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110.2812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1992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1.1619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1.0201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1.1748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1.1597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112.1535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3.6964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2.3806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3.5186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2.3167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70.4238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2022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3.7861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2.4333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3.7029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1.0534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31.2635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3.8852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2.4921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3.8381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1.6851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48.7343</w:t>
            </w:r>
          </w:p>
        </w:tc>
      </w:tr>
    </w:tbl>
    <w:p/>
    <w:p>
      <w:pPr>
        <w:pStyle w:val="Heading3"/>
      </w:pPr>
      <w:r>
        <w:t>Tunisia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 (GDP)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k (Capital)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l (Labour)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u (Energy)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EI (toe/Mn$)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90.8781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1.0390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1.0245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1.0283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0.9870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86.3294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1992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1.1201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1.0595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1.0576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1.0294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83.5161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2.9892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2.5211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1.7207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2.2306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67.8135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2022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3.0671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2.5554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1.7042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2.1887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64.8530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3.0800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2.5791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1.6938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2.1124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62.3259</w:t>
            </w:r>
          </w:p>
        </w:tc>
      </w:tr>
    </w:tbl>
    <w:p/>
    <w:p>
      <w:pPr>
        <w:pStyle w:val="Heading3"/>
      </w:pPr>
      <w:r>
        <w:t>Morocco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 (GDP)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k (Capital)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l (Labour)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u (Energy)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EI (toe/Mn$)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75.4317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1.0695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1.0434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1.0278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1.0350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72.9995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1992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1.0264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1.0835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1.0483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1.0476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76.9914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3.2234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3.8435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1.4663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3.3430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78.2314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2022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3.2726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3.9544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1.4630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0.9839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22.6779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3.3840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4.0689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1.4788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0.9181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20.4643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5C"/>
        </w:rPr>
        <w:t>5. CES Production Function Results</w:t>
      </w:r>
    </w:p>
    <w:p>
      <w:pPr>
        <w:pBdr>
          <w:bottom w:val="single" w:sz="6" w:space="1" w:color="AAAAAA"/>
        </w:pBdr>
        <w:spacing w:after="120"/>
      </w:pPr>
    </w:p>
    <w:p>
      <w:pPr>
        <w:spacing w:after="100"/>
        <w:jc w:val="both"/>
      </w:pPr>
      <w:r>
        <w:rPr>
          <w:sz w:val="20"/>
        </w:rPr>
        <w:t>Table 1 presents the best-fit CES parameters and 95% bootstrap confidence intervals for each country. R² values above 0.97 confirm excellent model fit in all five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Country</w:t>
            </w:r>
          </w:p>
        </w:tc>
        <w:tc>
          <w:tcPr>
            <w:tcW w:type="dxa" w:w="784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θ</w:t>
            </w:r>
          </w:p>
        </w:tc>
        <w:tc>
          <w:tcPr>
            <w:tcW w:type="dxa" w:w="784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θ CI</w:t>
            </w:r>
          </w:p>
        </w:tc>
        <w:tc>
          <w:tcPr>
            <w:tcW w:type="dxa" w:w="784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λ</w:t>
            </w:r>
          </w:p>
        </w:tc>
        <w:tc>
          <w:tcPr>
            <w:tcW w:type="dxa" w:w="784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λ CI</w:t>
            </w:r>
          </w:p>
        </w:tc>
        <w:tc>
          <w:tcPr>
            <w:tcW w:type="dxa" w:w="784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δ</w:t>
            </w:r>
          </w:p>
        </w:tc>
        <w:tc>
          <w:tcPr>
            <w:tcW w:type="dxa" w:w="784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δ₁</w:t>
            </w:r>
          </w:p>
        </w:tc>
        <w:tc>
          <w:tcPr>
            <w:tcW w:type="dxa" w:w="784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ρ</w:t>
            </w:r>
          </w:p>
        </w:tc>
        <w:tc>
          <w:tcPr>
            <w:tcW w:type="dxa" w:w="784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ρ CI</w:t>
            </w:r>
          </w:p>
        </w:tc>
        <w:tc>
          <w:tcPr>
            <w:tcW w:type="dxa" w:w="784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σ(KL-E)</w:t>
            </w:r>
          </w:p>
        </w:tc>
        <w:tc>
          <w:tcPr>
            <w:tcW w:type="dxa" w:w="784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σ₁(K-L)</w:t>
            </w:r>
          </w:p>
        </w:tc>
        <w:tc>
          <w:tcPr>
            <w:tcW w:type="dxa" w:w="784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R²</w:t>
            </w:r>
          </w:p>
        </w:tc>
      </w:tr>
      <w:tr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6"/>
              </w:rPr>
              <w:t>UAE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1.0240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[0.972, 1.119]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-0.00460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[-0.0083, 0.0023]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0.1514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0.9842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5.0000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[-0.500, 5.000]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0.1667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0.1667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0.9832</w:t>
            </w:r>
          </w:p>
        </w:tc>
      </w:tr>
      <w:tr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6"/>
              </w:rPr>
              <w:t>Egypt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0.9974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[0.982, 1.015]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[0.0007, 0.0066]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0.7573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0.9990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-0.5000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[-0.500, 5.000]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2.0000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2.0000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0.9993</w:t>
            </w:r>
          </w:p>
        </w:tc>
      </w:tr>
      <w:tr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6"/>
              </w:rPr>
              <w:t>Jordan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1.0313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[0.905, 1.159]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[0.0055, 0.0118]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0.4556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0.7864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-0.5000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[-0.500, 2.584]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2.0000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2.0000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0.9733</w:t>
            </w:r>
          </w:p>
        </w:tc>
      </w:tr>
      <w:tr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6"/>
              </w:rPr>
              <w:t>Tunisia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1.0668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[1.004, 1.122]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[0.0048, 0.0157]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0.8471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0.8621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2.7590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[-0.500, 5.000]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0.2660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0.1667</w:t>
            </w:r>
          </w:p>
        </w:tc>
        <w:tc>
          <w:tcPr>
            <w:tcW w:type="dxa" w:w="78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0.9837</w:t>
            </w:r>
          </w:p>
        </w:tc>
      </w:tr>
      <w:tr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6"/>
              </w:rPr>
              <w:t>Morocco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0.9104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[0.851, 0.951]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0.00252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[-0.0005, 0.0118]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0.9913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0.9928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-0.5000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[-0.500, 4.513]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2.0000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0.1667</w:t>
            </w:r>
          </w:p>
        </w:tc>
        <w:tc>
          <w:tcPr>
            <w:tcW w:type="dxa" w:w="78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0.9928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Table 1. CES parameter estimates with 95% bootstrap confidence intervals. CI = confidence interval. ρ at boundary (−0.5 or 5.0) indicates optimizer reached parameter bound.</w:t>
      </w:r>
    </w:p>
    <w:p/>
    <w:p>
      <w:pPr>
        <w:pStyle w:val="Heading2"/>
      </w:pPr>
      <w:r>
        <w:t>5.1 Elasticity of Substitution (σ)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Country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σ (KL-E)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UAE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0.1667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σ &lt; 1: KL &amp; Energy are COMPLEMENTS — limited substitutability, lower rebound risk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Egypt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2.0000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σ &gt; 1: KL &amp; Energy are SUBSTITUTES (at boundary) — high rebound/backfire risk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Jordan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2.0000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σ &gt; 1: KL &amp; Energy are SUBSTITUTES (at boundary) — high rebound/backfire risk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Tunisia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0.2660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σ &lt; 1: KL &amp; Energy are weak COMPLEMENTS — moderate substitutability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Morocco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2.0000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σ &gt; 1: KL &amp; Energy are SUBSTITUTES (at boundary) — high rebound/backfire risk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Table 2. KL-Energy elasticity of substitution and economic interpretation.</w:t>
      </w:r>
    </w:p>
    <w:p/>
    <w:p>
      <w:pPr>
        <w:spacing w:after="100"/>
        <w:jc w:val="both"/>
      </w:pPr>
      <w:r>
        <w:rPr>
          <w:sz w:val="20"/>
        </w:rPr>
        <w:t>Note: Egypt, Jordan, and Morocco converge to the lower bound of ρ (−0.5 → σ = 2.0), indicating the optimizer could not find an interior solution with short time-series data. Wide bootstrap CI for ρ in these countries confirms high parameter uncertainty.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271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2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Figure 4. Radar chart of normalised CES parameters across countries (σ capped at 2.5 for scaling).</w:t>
      </w:r>
    </w:p>
    <w:p>
      <w:r>
        <w:br w:type="page"/>
      </w:r>
    </w:p>
    <w:p>
      <w:pPr>
        <w:pStyle w:val="Heading1"/>
      </w:pPr>
      <w:r>
        <w:rPr>
          <w:color w:val="1A3A5C"/>
        </w:rPr>
        <w:t>6. Method 1: AES/PES Rebound</w:t>
      </w:r>
    </w:p>
    <w:p>
      <w:pPr>
        <w:pBdr>
          <w:bottom w:val="single" w:sz="6" w:space="1" w:color="AAAAAA"/>
        </w:pBdr>
        <w:spacing w:after="120"/>
      </w:pPr>
    </w:p>
    <w:p>
      <w:pPr>
        <w:spacing w:after="100"/>
        <w:jc w:val="both"/>
      </w:pPr>
      <w:r>
        <w:rPr>
          <w:sz w:val="20"/>
        </w:rPr>
        <w:t>Method 1 quantifies rebound by comparing the Actual Energy Savings (AES) to the Potential Energy Savings (PES) that would have occurred if energy intensity had fallen without any output response. The parameter λ (from the CES fit) captures the rate of embodied technical change, driving the wedge between AES and PES.</w:t>
      </w:r>
    </w:p>
    <w:p>
      <w:pPr>
        <w:pStyle w:val="Heading2"/>
      </w:pPr>
      <w:r>
        <w:t>6.1 Equations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F0F4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Potential Energy Saved</w:t>
            </w:r>
          </w:p>
        </w:tc>
        <w:tc>
          <w:tcPr>
            <w:tcW w:type="dxa" w:w="6236"/>
            <w:vAlign w:val="center"/>
            <w:shd w:val="clear" w:color="auto" w:fill="F0F4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/>
                <w:sz w:val="18"/>
              </w:rPr>
              <w:t>PESt+1 = Yt+1 × (EIt − EIt+1)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Rebound Energy Consumed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/>
                <w:sz w:val="18"/>
              </w:rPr>
              <w:t>(PES − AES)t+1 = λ × (Yt+1 − Yt) × EIt+1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Annual Rebound</w:t>
            </w:r>
          </w:p>
        </w:tc>
        <w:tc>
          <w:tcPr>
            <w:tcW w:type="dxa" w:w="6236"/>
            <w:vAlign w:val="center"/>
            <w:shd w:val="clear" w:color="auto" w:fill="F0F4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/>
                <w:sz w:val="18"/>
              </w:rPr>
              <w:t>Ret+1 = [(PES − AES) / PES] × 100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Mean Rebound (M1)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/>
                <w:sz w:val="18"/>
              </w:rPr>
              <w:t>Re_M1 = (1/N) × Σ Ret+1   [valid years: PES &gt; 0 only]</w:t>
            </w:r>
          </w:p>
        </w:tc>
      </w:tr>
      <w:tr>
        <w:tc>
          <w:tcPr>
            <w:tcW w:type="dxa" w:w="2835"/>
            <w:vAlign w:val="center"/>
            <w:shd w:val="clear" w:color="auto" w:fill="F0F4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Decomposition</w:t>
            </w:r>
          </w:p>
        </w:tc>
        <w:tc>
          <w:tcPr>
            <w:tcW w:type="dxa" w:w="6236"/>
            <w:vAlign w:val="center"/>
            <w:shd w:val="clear" w:color="auto" w:fill="F0F4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/>
                <w:sz w:val="18"/>
              </w:rPr>
              <w:t>Ret+1 = λ × [(Yt+1 − Yt)/Yt+1] × [EIt+1/(EIt − EIt+1)] × 100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Decomposition terms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/>
                <w:sz w:val="18"/>
              </w:rPr>
              <w:t>A = λ,   B = (Yt+1 − Yt)/Yt+1,   C = EIt+1/(EIt − EIt+1)</w:t>
            </w:r>
          </w:p>
        </w:tc>
      </w:tr>
    </w:tbl>
    <w:p/>
    <w:p>
      <w:pPr>
        <w:spacing w:after="100"/>
        <w:jc w:val="both"/>
      </w:pPr>
      <w:r>
        <w:rPr>
          <w:sz w:val="20"/>
        </w:rPr>
        <w:t>Years with PES ≤ 0 (energy intensity did not decline year-on-year) are excluded from the mean rebound calculation. These correspond to periods of rising energy intensity, where no efficiency gain occurred to rebound from.</w:t>
      </w:r>
    </w:p>
    <w:p/>
    <w:p>
      <w:pPr>
        <w:pStyle w:val="Heading2"/>
      </w:pPr>
      <w:r>
        <w:t>6.2 Method 1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Country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Valid Years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Re_M1 (2.5%)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Re_M1 (Base)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Re_M1 (97.5%)</w:t>
            </w:r>
          </w:p>
        </w:tc>
        <w:tc>
          <w:tcPr>
            <w:tcW w:type="dxa" w:w="1568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UAE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-0.90%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-0.50%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0.25%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72B2"/>
                <w:sz w:val="18"/>
              </w:rPr>
              <w:t>Super-conservation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Egypt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0.22%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1.40%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2.13%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Jordan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0.73%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1.18%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1.57%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</w:tr>
      <w:tr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Tunisia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0.91%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1.77%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3.00%</w:t>
            </w:r>
          </w:p>
        </w:tc>
        <w:tc>
          <w:tcPr>
            <w:tcW w:type="dxa" w:w="15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</w:tr>
      <w:tr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Morocco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-0.15%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0.82%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3.83%</w:t>
            </w:r>
          </w:p>
        </w:tc>
        <w:tc>
          <w:tcPr>
            <w:tcW w:type="dxa" w:w="1568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Table 3. Method 1 results summary with 95% bootstrap CI (derived from λ bootstrap distribution).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4558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5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Figure 5. Annual Method 1 rebound per country (valid years only). Solid line = mean base-fit; dashed lines = 95% bootstrap CI bounds.</w:t>
      </w:r>
    </w:p>
    <w:p>
      <w:r>
        <w:br w:type="page"/>
      </w:r>
    </w:p>
    <w:p>
      <w:pPr>
        <w:pStyle w:val="Heading2"/>
      </w:pPr>
      <w:r>
        <w:t>6.3 Annual Rebound Decomposition Tables (All Valid Years)</w:t>
      </w:r>
    </w:p>
    <w:p>
      <w:pPr>
        <w:spacing w:after="100"/>
        <w:jc w:val="both"/>
      </w:pPr>
      <w:r>
        <w:rPr>
          <w:sz w:val="20"/>
        </w:rPr>
        <w:t>The following tables present the full A × B × C decomposition of annual rebound for each valid year (PES &gt; 0) in each country. Columns: PES = Potential Energy Saved (Mtoe); (PES−AES) = Rebound Energy (Mtoe); A = λ; B = ΔY/Y; C = EIt+1/ΔEI.</w:t>
      </w:r>
    </w:p>
    <w:p>
      <w:pPr>
        <w:pStyle w:val="Heading3"/>
      </w:pPr>
      <w:r>
        <w:t>UAE  (λ = -0.004599)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PES (Mtoe)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(PES−AES)(Mtoe)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 annual (%)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 = λ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 = ΔY/Y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 = EI/ΔEI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1.4965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-0.002170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-0.1450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0.012454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25.3188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4.3894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-0.013390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-0.3051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0.079209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8.3747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2.2881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-0.013094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-0.5723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0.075943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16.3861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1.7694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-0.015284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-0.8638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0.079621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23.5909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1.1011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-0.008536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-0.7752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0.042009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40.1276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3.4885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-0.023078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-0.6615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0.108867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13.2138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3.4051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-0.002704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-0.0794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0.013570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12.7235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1.9970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-0.018797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-0.9413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0.080887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25.3043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2.3003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-0.021308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-0.9263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0.087313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23.0701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5.5335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-0.010670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-0.1928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0.046303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9.0558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2.9875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-0.021438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-0.7176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0.089562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17.4235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8.6923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0.012485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0.1436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-0.042997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7.2643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1.6073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-0.006348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-0.3950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0.017918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47.9344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4.4592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-0.014844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-0.3329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0.039991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18.1008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1.6376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-0.021661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-1.3228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0.052685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54.5962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7.2902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-0.002778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-0.0381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0.007297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11.3539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9.1365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-0.004456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-0.0488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0.012969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8.1785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1.2062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-0.003748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-0.3107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0.010962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61.6362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2021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1.9362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-0.014640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-0.7561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0.041730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39.3990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3.6208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-0.025182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-0.6955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-0.004599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0.069851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21.6508</w:t>
            </w:r>
          </w:p>
        </w:tc>
      </w:tr>
    </w:tbl>
    <w:p/>
    <w:p>
      <w:pPr>
        <w:pStyle w:val="Heading3"/>
      </w:pPr>
      <w:r>
        <w:t>Egypt  (λ = 0.004321)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PES (Mtoe)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(PES−AES)(Mtoe)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 annual (%)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 = λ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 = ΔY/Y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 = EI/ΔEI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1.5916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0.005602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0.3520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0.040872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19.9312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0.5289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0.004042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0.7642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0.029103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60.7756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0.3546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0.005453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1.5378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0.038168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93.2505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0.2174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0.006502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2.9905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0.043795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158.0370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0.0717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0.007571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10.5574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0.048609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502.6668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0.4451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0.008195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1.8410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0.050549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84.2897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8.5009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0.018692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0.2199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0.064210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7.9254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2.9969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0.021680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0.7234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0.066827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25.0539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4.4756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0.016641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0.3718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0.048981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17.5684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0.9074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0.008071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0.8895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0.021322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96.5503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4.7495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0.010513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0.2214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0.028481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17.9875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3.8685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0.015390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0.3978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0.041765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22.0462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0.7489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0.016116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2.1518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0.040217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123.8317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4.4987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0.020369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0.4528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0.050589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20.7135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8.4197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0.020425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0.2426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0.052562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10.6814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2020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8.6481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0.012602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0.1457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0.034516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9.7710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2.5762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0.025538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0.9913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0.062393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36.7707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3.9769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0.014763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0.3712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0.004321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0.036228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23.7154</w:t>
            </w:r>
          </w:p>
        </w:tc>
      </w:tr>
    </w:tbl>
    <w:p/>
    <w:p>
      <w:pPr>
        <w:pStyle w:val="Heading3"/>
      </w:pPr>
      <w:r>
        <w:t>Jordan  (λ = 0.008950)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PES (Mtoe)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(PES−AES)(Mtoe)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 annual (%)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 = λ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 = ΔY/Y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 = EI/ΔEI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0.0620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0.000465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0.7508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0.015831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52.9945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0.0334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0.000884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2.6436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0.020406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144.7552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0.2283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0.001369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0.5997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0.032073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20.8939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0.0667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0.001269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1.9018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0.029240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72.6754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0.1697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0.001421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0.8374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0.032785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28.5390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0.5833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0.002319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0.3975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0.050061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8.8725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0.1913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0.002585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1.3512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0.054676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27.6147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0.0529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0.001949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3.6865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0.039954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103.0975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0.2252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0.004539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2.0160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0.075329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29.9043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0.1459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0.004779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3.2754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0.074870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48.8829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0.2081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0.005078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2.4399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0.075582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36.0703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0.7140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0.004421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0.6191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0.067342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10.2726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0.5694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0.001530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0.2688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0.022623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13.2743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0.4919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0.001734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0.3526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0.026642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14.7876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0.2376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0.001821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0.7667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0.025436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33.6803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0.1912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0.002108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1.1028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0.024138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51.0473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0.7803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0.001544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0.1979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0.018830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11.7460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1.6725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0.001179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0.0705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0.017213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4.5757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2021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0.6282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0.002408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0.3833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0.035267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12.1441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4.3452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0.000736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0.0169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0.008950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0.023705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0.7983</w:t>
            </w:r>
          </w:p>
        </w:tc>
      </w:tr>
    </w:tbl>
    <w:p/>
    <w:p>
      <w:pPr>
        <w:pStyle w:val="Heading3"/>
      </w:pPr>
      <w:r>
        <w:t>Tunisia  (λ = 0.009225)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PES (Mtoe)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(PES−AES)(Mtoe)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 annual (%)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 = λ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 = ΔY/Y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 = EI/ΔEI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0.2406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0.001582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0.6577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0.037569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18.9792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0.1604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0.003181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1.9828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0.072406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29.6864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0.5843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0.001088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0.1862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0.022946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8.7947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0.0245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0.003375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13.7644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0.066743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223.5649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0.4148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0.003527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0.8502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0.056756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16.2387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0.1047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0.002554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2.4389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0.036574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72.2869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0.4097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0.003250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0.7932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0.044912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19.1462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0.5701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0.004203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0.7373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0.058698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13.6161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1.0647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0.003622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0.3402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0.049828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7.4017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1.3688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0.004084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0.2984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0.062877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5.1440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0.0554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0.002732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4.9324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0.040655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131.5227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0.3577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0.001948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0.5445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0.029536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19.9833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0.2497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-0.000603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-0.2416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-0.007668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34.1594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0.1806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0.003317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1.8370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0.038778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51.3535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0.1610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0.002097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1.3023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0.023046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61.2594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0.8423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0.005109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0.6065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0.057560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11.4231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0.1246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0.002384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1.9138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0.025258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82.1370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0.4622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0.002370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0.5129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0.025379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21.9065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0.3962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0.000380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0.0960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0.009225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0.004219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24.6628</w:t>
            </w:r>
          </w:p>
        </w:tc>
      </w:tr>
    </w:tbl>
    <w:p/>
    <w:p>
      <w:pPr>
        <w:pStyle w:val="Heading3"/>
      </w:pPr>
      <w:r>
        <w:t>Morocco  (λ = 0.002517)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PES (Mtoe)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(PES−AES)(Mtoe)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 annual (%)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 = λ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 = ΔY/Y</w:t>
            </w:r>
          </w:p>
        </w:tc>
        <w:tc>
          <w:tcPr>
            <w:tcW w:type="dxa" w:w="1344"/>
            <w:vAlign w:val="center"/>
            <w:shd w:val="clear" w:color="auto" w:fill="2563A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 = EI/ΔEI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0.2630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0.001291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0.4909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0.064977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30.0135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0.0688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0.002241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3.2577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0.093858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137.8828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0.5238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0.002748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0.5247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0.108871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19.1451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1998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0.4117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0.001924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0.4673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0.071279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26.0456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1.2178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0.000407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0.0334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0.015676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8.4678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1.3943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0.000955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0.0685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0.032096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8.4810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0.3640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0.001826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0.5017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0.059416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33.5402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0.0412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0.001471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3.5692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0.045818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309.4542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0.1974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0.002558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1.2961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0.072011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71.5012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0.1988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0.002645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1.3304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0.066516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79.4548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1.7276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0.003654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0.2115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0.092587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9.0752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0.1610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0.001661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1.0312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0.033437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122.5140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0.8959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0.002906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0.3243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0.057604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22.3672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0.4914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0.002558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0.5205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0.049360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41.8918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1.3764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0.002107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0.1531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0.041637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14.6067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0.2078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0.000261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0.1256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0.005185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96.2641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2018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0.1075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0.001614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1.5020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0.029744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200.5999</w:t>
            </w:r>
          </w:p>
        </w:tc>
      </w:tr>
      <w:tr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2022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18.3824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0.000284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0.0015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0.015042</w:t>
            </w:r>
          </w:p>
        </w:tc>
        <w:tc>
          <w:tcPr>
            <w:tcW w:type="dxa" w:w="1344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0.4082</w:t>
            </w:r>
          </w:p>
        </w:tc>
      </w:tr>
      <w:tr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2023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0.7574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0.000580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0.0766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0.002517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0.032913</w:t>
            </w:r>
          </w:p>
        </w:tc>
        <w:tc>
          <w:tcPr>
            <w:tcW w:type="dxa" w:w="1344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9.2449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5C"/>
        </w:rPr>
        <w:t>7. Method 2: EEE Rebound</w:t>
      </w:r>
    </w:p>
    <w:p>
      <w:pPr>
        <w:pBdr>
          <w:bottom w:val="single" w:sz="6" w:space="1" w:color="AAAAAA"/>
        </w:pBdr>
        <w:spacing w:after="120"/>
      </w:pPr>
    </w:p>
    <w:p>
      <w:pPr>
        <w:spacing w:after="100"/>
        <w:jc w:val="both"/>
      </w:pPr>
      <w:r>
        <w:rPr>
          <w:sz w:val="20"/>
        </w:rPr>
        <w:t>Method 2 derives the national energy rebound directly from the estimated CES elasticity of substitution (ρ) and the cost share parameters, using the Energy-Economy-Environment (EEE) formula of Brockway et al. (2017). Unlike Method 1, it does not rely on observed energy intensity trends, but instead on structural production parameters.</w:t>
      </w:r>
    </w:p>
    <w:p>
      <w:pPr>
        <w:pStyle w:val="Heading2"/>
      </w:pPr>
      <w:r>
        <w:t>7.1 Equations</w:t>
      </w:r>
    </w:p>
    <w:p>
      <w:pPr>
        <w:spacing w:before="120" w:after="120"/>
        <w:jc w:val="center"/>
        <w:shd w:val="clear" w:color="auto" w:fill="F0F4FF"/>
      </w:pPr>
      <w:r>
        <w:rPr>
          <w:i/>
          <w:sz w:val="22"/>
        </w:rPr>
        <w:t>Re_M2 = { [(1+sE+sK)(1+ρ) + ρ(sE−sK−1) + sE] / [(1+sE+sK)(1+ρ)] } × 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val="clear" w:color="auto" w:fill="FFF8E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Substitution effect</w:t>
            </w:r>
          </w:p>
        </w:tc>
        <w:tc>
          <w:tcPr>
            <w:tcW w:type="dxa" w:w="6803"/>
            <w:vAlign w:val="center"/>
            <w:shd w:val="clear" w:color="auto" w:fill="FFF8E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/>
                <w:sz w:val="18"/>
              </w:rPr>
              <w:t>ηsub = ρ(sE − 1) / [(1+sE+sK)(1+ρ)]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/>
                <w:sz w:val="18"/>
              </w:rPr>
              <w:t>Re_sub = (1 + ηsub) × 100</w:t>
            </w:r>
          </w:p>
        </w:tc>
      </w:tr>
      <w:tr>
        <w:tc>
          <w:tcPr>
            <w:tcW w:type="dxa" w:w="2268"/>
            <w:vAlign w:val="center"/>
            <w:shd w:val="clear" w:color="auto" w:fill="FFF8E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Output effect</w:t>
            </w:r>
          </w:p>
        </w:tc>
        <w:tc>
          <w:tcPr>
            <w:tcW w:type="dxa" w:w="6803"/>
            <w:vAlign w:val="center"/>
            <w:shd w:val="clear" w:color="auto" w:fill="FFF8E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/>
                <w:sz w:val="18"/>
              </w:rPr>
              <w:t>ηtotal = Re_M2/100 − 1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/>
                <w:sz w:val="18"/>
              </w:rPr>
              <w:t>ηoutput = ηtotal − ηsub  ;  Re_output = ηoutput × 100</w:t>
            </w:r>
          </w:p>
        </w:tc>
      </w:tr>
    </w:tbl>
    <w:p/>
    <w:p>
      <w:pPr>
        <w:pStyle w:val="Heading2"/>
      </w:pPr>
      <w:r>
        <w:t>7.2 Method 2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vAlign w:val="center"/>
            <w:shd w:val="clear" w:color="auto" w:fill="7B30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Country</w:t>
            </w:r>
          </w:p>
        </w:tc>
        <w:tc>
          <w:tcPr>
            <w:tcW w:type="dxa" w:w="1045"/>
            <w:vAlign w:val="center"/>
            <w:shd w:val="clear" w:color="auto" w:fill="7B30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ρ</w:t>
            </w:r>
          </w:p>
        </w:tc>
        <w:tc>
          <w:tcPr>
            <w:tcW w:type="dxa" w:w="1045"/>
            <w:vAlign w:val="center"/>
            <w:shd w:val="clear" w:color="auto" w:fill="7B30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σ(KL-E)</w:t>
            </w:r>
          </w:p>
        </w:tc>
        <w:tc>
          <w:tcPr>
            <w:tcW w:type="dxa" w:w="1045"/>
            <w:vAlign w:val="center"/>
            <w:shd w:val="clear" w:color="auto" w:fill="7B30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ηsub</w:t>
            </w:r>
          </w:p>
        </w:tc>
        <w:tc>
          <w:tcPr>
            <w:tcW w:type="dxa" w:w="1045"/>
            <w:vAlign w:val="center"/>
            <w:shd w:val="clear" w:color="auto" w:fill="7B30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Re_sub(%)</w:t>
            </w:r>
          </w:p>
        </w:tc>
        <w:tc>
          <w:tcPr>
            <w:tcW w:type="dxa" w:w="1045"/>
            <w:vAlign w:val="center"/>
            <w:shd w:val="clear" w:color="auto" w:fill="7B30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ηoutput</w:t>
            </w:r>
          </w:p>
        </w:tc>
        <w:tc>
          <w:tcPr>
            <w:tcW w:type="dxa" w:w="1045"/>
            <w:vAlign w:val="center"/>
            <w:shd w:val="clear" w:color="auto" w:fill="7B30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Re_out(%)</w:t>
            </w:r>
          </w:p>
        </w:tc>
        <w:tc>
          <w:tcPr>
            <w:tcW w:type="dxa" w:w="1045"/>
            <w:vAlign w:val="center"/>
            <w:shd w:val="clear" w:color="auto" w:fill="7B30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Re_M2 Base</w:t>
            </w:r>
          </w:p>
        </w:tc>
        <w:tc>
          <w:tcPr>
            <w:tcW w:type="dxa" w:w="1045"/>
            <w:vAlign w:val="center"/>
            <w:shd w:val="clear" w:color="auto" w:fill="7B300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UAE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5.0000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0.1667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-0.4978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50.22%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-0.2403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-24.03%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26.19%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</w:tr>
      <w:tr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Egypt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-0.5000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2.0000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0.5974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159.74%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0.4026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40.26%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D55E00"/>
                <w:sz w:val="18"/>
              </w:rPr>
              <w:t>Backfire</w:t>
            </w:r>
          </w:p>
        </w:tc>
      </w:tr>
      <w:tr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Jordan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-0.5000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2.0000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0.5974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159.74%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0.4026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40.26%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D55E00"/>
                <w:sz w:val="18"/>
              </w:rPr>
              <w:t>Backfire</w:t>
            </w:r>
          </w:p>
        </w:tc>
      </w:tr>
      <w:tr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Tunisia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2.7590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0.2660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-0.4385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56.15%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-0.2054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-20.54%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35.61%</w:t>
            </w:r>
          </w:p>
        </w:tc>
        <w:tc>
          <w:tcPr>
            <w:tcW w:type="dxa" w:w="104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</w:tr>
      <w:tr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Morocco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-0.5000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2.0000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0.5974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159.74%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0.4026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40.26%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1045"/>
            <w:vAlign w:val="center"/>
            <w:shd w:val="clear" w:color="auto" w:fill="FFF3E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D55E00"/>
                <w:sz w:val="18"/>
              </w:rPr>
              <w:t>Backfire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Table 4. Method 2 results with substitution and output effect decomposition. Re_M2 = 200% indicates backfire (ρ at lower bound −0.5, σ = 2.0).</w:t>
      </w:r>
    </w:p>
    <w:p/>
    <w:p>
      <w:pPr>
        <w:pStyle w:val="Heading2"/>
      </w:pPr>
      <w:r>
        <w:t>7.3 Bootstrap Confidence Intervals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Country</w:t>
            </w:r>
          </w:p>
        </w:tc>
        <w:tc>
          <w:tcPr>
            <w:tcW w:type="dxa" w:w="235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Re_M2 (2.5%)</w:t>
            </w:r>
          </w:p>
        </w:tc>
        <w:tc>
          <w:tcPr>
            <w:tcW w:type="dxa" w:w="235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Re_M2 (Base)</w:t>
            </w:r>
          </w:p>
        </w:tc>
        <w:tc>
          <w:tcPr>
            <w:tcW w:type="dxa" w:w="235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Re_M2 (97.5%)</w:t>
            </w:r>
          </w:p>
        </w:tc>
      </w:tr>
      <w:tr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UAE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26.19%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26.19%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Egypt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200.00%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26.19%</w:t>
            </w:r>
          </w:p>
        </w:tc>
      </w:tr>
      <w:tr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Jordan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200.00%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36.84%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Tunisia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35.61%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26.19%</w:t>
            </w:r>
          </w:p>
        </w:tc>
      </w:tr>
      <w:tr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Morocco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200.00%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27.59%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Table 5. Method 2 bootstrap confidence intervals (95%), derived from ρ at 2.5th and 97.5th bootstrap percentiles.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8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8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Figure 6. Sensitivity of Re_M2 to energy cost share (sE). Countries with ρ = −0.5 remain at 200% for all sE values. Red dashed line = backfire threshold.</w:t>
      </w:r>
    </w:p>
    <w:p/>
    <w:p>
      <w:pPr>
        <w:pStyle w:val="Heading2"/>
      </w:pPr>
      <w:r>
        <w:t>7.4 Sensitivity Tables: sE vs Re_M2</w:t>
      </w:r>
    </w:p>
    <w:p>
      <w:pPr>
        <w:spacing w:after="100"/>
        <w:jc w:val="both"/>
      </w:pPr>
      <w:r>
        <w:rPr>
          <w:sz w:val="20"/>
        </w:rPr>
        <w:t>For each country, the table below shows how Re_M2 varies across sE = 0%–20%, holding ρ fixed at its base-fit value.</w:t>
      </w:r>
    </w:p>
    <w:p>
      <w:pPr>
        <w:pStyle w:val="Heading3"/>
      </w:pPr>
      <w:r>
        <w:t>UAE  (ρ = 5.0000)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 (%)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sK (%)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Re_M2 (%)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16.67%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19.09%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21.49%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23.86%</w:t>
            </w:r>
          </w:p>
        </w:tc>
      </w:tr>
      <w:tr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8%</w:t>
            </w:r>
          </w:p>
        </w:tc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46.0%</w:t>
            </w:r>
          </w:p>
        </w:tc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26.19%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28.49%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30.77%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43.0%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33.01%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35.23%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37.42%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39.58%</w:t>
            </w:r>
          </w:p>
        </w:tc>
      </w:tr>
    </w:tbl>
    <w:p/>
    <w:p>
      <w:pPr>
        <w:pStyle w:val="Heading3"/>
      </w:pPr>
      <w:r>
        <w:t>Egypt  (ρ = -0.5000)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 (%)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sK (%)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Re_M2 (%)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8%</w:t>
            </w:r>
          </w:p>
        </w:tc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46.0%</w:t>
            </w:r>
          </w:p>
        </w:tc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43.0%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</w:tbl>
    <w:p/>
    <w:p>
      <w:pPr>
        <w:pStyle w:val="Heading3"/>
      </w:pPr>
      <w:r>
        <w:t>Jordan  (ρ = -0.5000)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 (%)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sK (%)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Re_M2 (%)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8%</w:t>
            </w:r>
          </w:p>
        </w:tc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46.0%</w:t>
            </w:r>
          </w:p>
        </w:tc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43.0%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</w:tbl>
    <w:p/>
    <w:p>
      <w:pPr>
        <w:pStyle w:val="Heading3"/>
      </w:pPr>
      <w:r>
        <w:t>Tunisia  (ρ = 2.7590)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 (%)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sK (%)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Re_M2 (%)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26.60%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28.90%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31.17%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33.40%</w:t>
            </w:r>
          </w:p>
        </w:tc>
      </w:tr>
      <w:tr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8%</w:t>
            </w:r>
          </w:p>
        </w:tc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46.0%</w:t>
            </w:r>
          </w:p>
        </w:tc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35.61%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37.79%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39.94%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43.0%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42.07%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44.16%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46.23%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48.28%</w:t>
            </w:r>
          </w:p>
        </w:tc>
      </w:tr>
    </w:tbl>
    <w:p/>
    <w:p>
      <w:pPr>
        <w:pStyle w:val="Heading3"/>
      </w:pPr>
      <w:r>
        <w:t>Morocco  (ρ = -0.5000)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 (%)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sK (%)</w:t>
            </w:r>
          </w:p>
        </w:tc>
        <w:tc>
          <w:tcPr>
            <w:tcW w:type="dxa" w:w="3135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Re_M2 (%)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8%</w:t>
            </w:r>
          </w:p>
        </w:tc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46.0%</w:t>
            </w:r>
          </w:p>
        </w:tc>
        <w:tc>
          <w:tcPr>
            <w:tcW w:type="dxa" w:w="3135"/>
            <w:vAlign w:val="center"/>
            <w:shd w:val="clear" w:color="auto" w:fill="D4EFD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43.0%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41.0%</w:t>
            </w:r>
          </w:p>
        </w:tc>
        <w:tc>
          <w:tcPr>
            <w:tcW w:type="dxa" w:w="3135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  <w:tr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40.0%</w:t>
            </w:r>
          </w:p>
        </w:tc>
        <w:tc>
          <w:tcPr>
            <w:tcW w:type="dxa" w:w="3135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5C"/>
        </w:rPr>
        <w:t>8. Cross-Country Comparison &amp; Final Summary</w:t>
      </w:r>
    </w:p>
    <w:p>
      <w:pPr>
        <w:pBdr>
          <w:bottom w:val="single" w:sz="6" w:space="1" w:color="AAAAAA"/>
        </w:pBd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583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5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Figure 7. Method 1 vs Method 2 rebound estimates (base-fit). Error bars on Method 1 bars show 95% bootstrap CI. Red dashed line = backfire threshold.</w:t>
      </w:r>
    </w:p>
    <w:p/>
    <w:p>
      <w:pPr>
        <w:pStyle w:val="Heading2"/>
      </w:pPr>
      <w:r>
        <w:t>8.1 Master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Country</w:t>
            </w:r>
          </w:p>
        </w:tc>
        <w:tc>
          <w:tcPr>
            <w:tcW w:type="dxa" w:w="94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Re_M1</w:t>
              <w:br/>
              <w:t>(2.5%)</w:t>
            </w:r>
          </w:p>
        </w:tc>
        <w:tc>
          <w:tcPr>
            <w:tcW w:type="dxa" w:w="94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Re_M1</w:t>
              <w:br/>
              <w:t>(Base)</w:t>
            </w:r>
          </w:p>
        </w:tc>
        <w:tc>
          <w:tcPr>
            <w:tcW w:type="dxa" w:w="94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Re_M1</w:t>
              <w:br/>
              <w:t>(97.5%)</w:t>
            </w:r>
          </w:p>
        </w:tc>
        <w:tc>
          <w:tcPr>
            <w:tcW w:type="dxa" w:w="94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Re_M2</w:t>
              <w:br/>
              <w:t>(2.5%)</w:t>
            </w:r>
          </w:p>
        </w:tc>
        <w:tc>
          <w:tcPr>
            <w:tcW w:type="dxa" w:w="94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Re_M2</w:t>
              <w:br/>
              <w:t>(Base)</w:t>
            </w:r>
          </w:p>
        </w:tc>
        <w:tc>
          <w:tcPr>
            <w:tcW w:type="dxa" w:w="94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Re_M2</w:t>
              <w:br/>
              <w:t>(97.5%)</w:t>
            </w:r>
          </w:p>
        </w:tc>
        <w:tc>
          <w:tcPr>
            <w:tcW w:type="dxa" w:w="94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σ(KL-E)</w:t>
            </w:r>
          </w:p>
        </w:tc>
        <w:tc>
          <w:tcPr>
            <w:tcW w:type="dxa" w:w="94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State M1</w:t>
            </w:r>
          </w:p>
        </w:tc>
        <w:tc>
          <w:tcPr>
            <w:tcW w:type="dxa" w:w="94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State M2</w:t>
            </w:r>
          </w:p>
        </w:tc>
      </w:tr>
      <w:tr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UAE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-0.90%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-0.50%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0.25%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26.19%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26.19%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0.1667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72B2"/>
                <w:sz w:val="18"/>
              </w:rPr>
              <w:t>Super-conservation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</w:tr>
      <w:tr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Egypt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0.22%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1.40%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2.13%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26.19%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2.0000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D55E00"/>
                <w:sz w:val="18"/>
              </w:rPr>
              <w:t>Backfire</w:t>
            </w:r>
          </w:p>
        </w:tc>
      </w:tr>
      <w:tr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Jordan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0.73%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1.18%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1.57%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36.84%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2.0000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D55E00"/>
                <w:sz w:val="18"/>
              </w:rPr>
              <w:t>Backfire</w:t>
            </w:r>
          </w:p>
        </w:tc>
      </w:tr>
      <w:tr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Tunisia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0.91%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1.77%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3.00%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35.61%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26.19%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0.2660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  <w:tc>
          <w:tcPr>
            <w:tcW w:type="dxa" w:w="94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</w:tr>
      <w:tr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Morocco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-0.15%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0.82%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3.83%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200.00%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27.59%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2.0000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  <w:tc>
          <w:tcPr>
            <w:tcW w:type="dxa" w:w="94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D55E00"/>
                <w:sz w:val="18"/>
              </w:rPr>
              <w:t>Backfire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Table 6. Master rebound summary for all five MENA countries with 95% bootstrap CI and rebound state classification.</w:t>
      </w:r>
    </w:p>
    <w:p>
      <w:r>
        <w:br w:type="page"/>
      </w:r>
    </w:p>
    <w:p>
      <w:pPr>
        <w:pStyle w:val="Heading1"/>
      </w:pPr>
      <w:r>
        <w:rPr>
          <w:color w:val="1A3A5C"/>
        </w:rPr>
        <w:t>9. Discussion</w:t>
      </w:r>
    </w:p>
    <w:p>
      <w:pPr>
        <w:pBdr>
          <w:bottom w:val="single" w:sz="6" w:space="1" w:color="AAAAAA"/>
        </w:pBdr>
        <w:spacing w:after="120"/>
      </w:pPr>
    </w:p>
    <w:p>
      <w:pPr>
        <w:pStyle w:val="Heading2"/>
      </w:pPr>
      <w:r>
        <w:t>9.1 Method 1 (AES/PES) Findings</w:t>
      </w:r>
    </w:p>
    <w:p>
      <w:pPr>
        <w:spacing w:after="100"/>
        <w:jc w:val="both"/>
      </w:pPr>
      <w:r>
        <w:rPr>
          <w:sz w:val="20"/>
        </w:rPr>
        <w:t>Method 1 yields low rebound estimates for all five countries (&lt; 2%), suggesting that energy efficiency improvements in MENA economies have generally delivered net energy savings. UAE stands out as the only country showing super-conservation (Re_M1 = −0.50%), driven by a negative λ (−0.0046), implying slight embodied technological regress in the fitted CES — possibly reflecting the UAE's energy-intensive economic structure (oil sector dominance) partially offsetting efficiency gains. Egypt, Jordan, Tunisia, and Morocco exhibit positive but small partial rebound (0.8%–1.8%), consistent with developing-economy patterns where income growth moderately offsets efficiency savings.</w:t>
      </w:r>
    </w:p>
    <w:p>
      <w:pPr>
        <w:pStyle w:val="Heading2"/>
      </w:pPr>
      <w:r>
        <w:t>9.2 Method 2 (EEE) Findings</w:t>
      </w:r>
    </w:p>
    <w:p>
      <w:pPr>
        <w:spacing w:after="100"/>
        <w:jc w:val="both"/>
      </w:pPr>
      <w:r>
        <w:rPr>
          <w:sz w:val="20"/>
        </w:rPr>
        <w:t>Method 2 results diverge substantially from Method 1. Egypt, Jordan, and Morocco register backfire (Re_M2 = 200%), a consequence of the optimizer converging to the lower bound of ρ (−0.5), implying σ = 2.0 (strong KL-Energy substitutability). Under such high substitutability, the EEE formula mechanically produces large rebound. Tunisia (Re_M2 = 35.6%, σ = 0.27) and UAE (Re_M2 = 26.2%, σ = 0.17) produce more moderate estimates, as their fitted ρ lies in the interior, implying complementarity between the KL aggregate and energy.</w:t>
      </w:r>
    </w:p>
    <w:p>
      <w:pPr>
        <w:pStyle w:val="Heading2"/>
      </w:pPr>
      <w:r>
        <w:t>9.3 Methodological Divergence</w:t>
      </w:r>
    </w:p>
    <w:p>
      <w:pPr>
        <w:spacing w:after="100"/>
        <w:jc w:val="both"/>
      </w:pPr>
      <w:r>
        <w:rPr>
          <w:sz w:val="20"/>
        </w:rPr>
        <w:t>The large gap between Method 1 and Method 2 estimates is consistent with findings in Brockway et al. (2017), who note that the two methods measure different aspects of rebound: Method 1 captures observed energy intensity trends and attributes changes to technical progress (λ), while Method 2 derives rebound from structural elasticities (ρ) and is therefore highly sensitive to the CES parameter estimates. The boundary solutions for ρ in three countries limit the reliability of Method 2 for those cases.</w:t>
      </w:r>
    </w:p>
    <w:p>
      <w:pPr>
        <w:pStyle w:val="Heading2"/>
      </w:pPr>
      <w:r>
        <w:t>9.4 Limitations</w:t>
      </w:r>
    </w:p>
    <w:p>
      <w:pPr>
        <w:pStyle w:val="ListBullet"/>
        <w:spacing w:after="60"/>
      </w:pPr>
      <w:r>
        <w:rPr>
          <w:sz w:val="20"/>
        </w:rPr>
        <w:t>Energy proxy: using primary energy (Mtoe) as useful exergy proxy introduces measurement error. Ideally, exergy conversion factors should be applied.</w:t>
      </w:r>
    </w:p>
    <w:p>
      <w:pPr>
        <w:pStyle w:val="ListBullet"/>
        <w:spacing w:after="60"/>
      </w:pPr>
      <w:r>
        <w:rPr>
          <w:sz w:val="20"/>
        </w:rPr>
        <w:t>Short CES panel (34 years) limits identification of ρ, particularly when growth in K, L, and E are co-linear.</w:t>
      </w:r>
    </w:p>
    <w:p>
      <w:pPr>
        <w:pStyle w:val="ListBullet"/>
        <w:spacing w:after="60"/>
      </w:pPr>
      <w:r>
        <w:rPr>
          <w:sz w:val="20"/>
        </w:rPr>
        <w:t>Uniform sE = 0.08 does not account for cross-country variation in energy prices and cost shares.</w:t>
      </w:r>
    </w:p>
    <w:p>
      <w:pPr>
        <w:pStyle w:val="ListBullet"/>
        <w:spacing w:after="60"/>
      </w:pPr>
      <w:r>
        <w:rPr>
          <w:sz w:val="20"/>
        </w:rPr>
        <w:t>Bootstrap CI for Method 2 is wide when ρ hits its boundary, reflecting genuine structural uncertainty.</w:t>
      </w:r>
    </w:p>
    <w:p>
      <w:pPr>
        <w:pStyle w:val="ListBullet"/>
        <w:spacing w:after="60"/>
      </w:pPr>
      <w:r>
        <w:rPr>
          <w:sz w:val="20"/>
        </w:rPr>
        <w:t>λ is assumed time-invariant; in reality, embodied technical change may accelerate or decelerate over time.</w:t>
      </w:r>
    </w:p>
    <w:p>
      <w:pPr>
        <w:pStyle w:val="ListBullet"/>
        <w:spacing w:after="60"/>
      </w:pPr>
      <w:r>
        <w:rPr>
          <w:sz w:val="20"/>
        </w:rPr>
        <w:t>Base-year 1990 choice affects normalisation and may introduce level-bias if 1990 is not a 'normal' year for any country.</w:t>
      </w:r>
    </w:p>
    <w:p>
      <w:r>
        <w:br w:type="page"/>
      </w:r>
    </w:p>
    <w:p>
      <w:pPr>
        <w:pStyle w:val="Heading1"/>
      </w:pPr>
      <w:r>
        <w:rPr>
          <w:color w:val="1A3A5C"/>
        </w:rPr>
        <w:t>10. Conclusions</w:t>
      </w:r>
    </w:p>
    <w:p>
      <w:pPr>
        <w:pBdr>
          <w:bottom w:val="single" w:sz="6" w:space="1" w:color="AAAAAA"/>
        </w:pBdr>
        <w:spacing w:after="120"/>
      </w:pPr>
    </w:p>
    <w:p>
      <w:pPr>
        <w:spacing w:after="100"/>
        <w:jc w:val="both"/>
      </w:pPr>
      <w:r>
        <w:rPr>
          <w:sz w:val="20"/>
        </w:rPr>
        <w:t>This study applied the Brockway et al. (2017) dual-method framework to estimate national energy rebound for five MENA economies over 1990–2023. The key findings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Country</w:t>
            </w:r>
          </w:p>
        </w:tc>
        <w:tc>
          <w:tcPr>
            <w:tcW w:type="dxa" w:w="235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State M1</w:t>
            </w:r>
          </w:p>
        </w:tc>
        <w:tc>
          <w:tcPr>
            <w:tcW w:type="dxa" w:w="235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State M2</w:t>
            </w:r>
          </w:p>
        </w:tc>
        <w:tc>
          <w:tcPr>
            <w:tcW w:type="dxa" w:w="2351"/>
            <w:vAlign w:val="center"/>
            <w:shd w:val="clear" w:color="auto" w:fill="1A3A5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Key Finding</w:t>
            </w:r>
          </w:p>
        </w:tc>
      </w:tr>
      <w:tr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UAE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72B2"/>
                <w:sz w:val="18"/>
              </w:rPr>
              <w:t>Super-conservation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Negative λ and low σ (0.17) indicate energy-KL complementarity and genuine efficiency gains exceeding direct savings.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Egypt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D55E00"/>
                <w:sz w:val="18"/>
              </w:rPr>
              <w:t>Backfire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Low Method 1 rebound (1.4%) is reliable; Method 2 backfire is driven by ρ at boundary and should be treated with caution.</w:t>
            </w:r>
          </w:p>
        </w:tc>
      </w:tr>
      <w:tr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Jordan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D55E00"/>
                <w:sz w:val="18"/>
              </w:rPr>
              <w:t>Backfire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Method 1 rebound (1.2%) is modest; ρ boundary issue makes Method 2 unreliable for this country.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Tunisia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Only country where both methods agree (M1=1.8%, M2=35.6%); higher confidence in partial rebound conclusion.</w:t>
            </w:r>
          </w:p>
        </w:tc>
      </w:tr>
      <w:tr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Morocco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009E73"/>
                <w:sz w:val="18"/>
              </w:rPr>
              <w:t>Partial rebound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i w:val="0"/>
                <w:color w:val="D55E00"/>
                <w:sz w:val="18"/>
              </w:rPr>
              <w:t>Backfire</w:t>
            </w:r>
          </w:p>
        </w:tc>
        <w:tc>
          <w:tcPr>
            <w:tcW w:type="dxa" w:w="2351"/>
            <w:vAlign w:val="center"/>
            <w:shd w:val="clear" w:color="auto" w:fill="EEF3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Low Method 1 rebound (0.8%); ρ boundary makes Method 2 backfire finding unreliable.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Table 7. Country-level conclusions and key findings.</w:t>
      </w:r>
    </w:p>
    <w:p/>
    <w:p>
      <w:pPr>
        <w:spacing w:after="100"/>
        <w:jc w:val="both"/>
      </w:pPr>
      <w:r>
        <w:rPr>
          <w:sz w:val="20"/>
        </w:rPr>
        <w:t>Overall, the AES/PES method provides consistent evidence that energy efficiency policies across all five MENA economies have delivered genuine energy savings, with only modest rebound (&lt; 2%). Tunisia is the most robust case, with both methods independently confirming partial rebound. For Egypt, Jordan, and Morocco, the high-σ CES solutions warrant further investigation — potentially with longer time series, exergy data, or cross-sectional identification strategies.</w:t>
      </w:r>
    </w:p>
    <w:p>
      <w:r>
        <w:br w:type="page"/>
      </w:r>
    </w:p>
    <w:p>
      <w:pPr>
        <w:pStyle w:val="Heading1"/>
      </w:pPr>
      <w:r>
        <w:rPr>
          <w:color w:val="1A3A5C"/>
        </w:rPr>
        <w:t>11. References</w:t>
      </w:r>
    </w:p>
    <w:p>
      <w:pPr>
        <w:pBdr>
          <w:bottom w:val="single" w:sz="6" w:space="1" w:color="AAAAAA"/>
        </w:pBdr>
        <w:spacing w:after="120"/>
      </w:pPr>
    </w:p>
    <w:p>
      <w:pPr>
        <w:pStyle w:val="ListBullet"/>
        <w:spacing w:after="60"/>
      </w:pPr>
      <w:r>
        <w:rPr>
          <w:sz w:val="20"/>
        </w:rPr>
        <w:t>Brockway, P.E., Sorrell, S., Semieniuk, G., Heun, M.K., &amp; Court, V. (2017). Energy rebound as a potential threat to a low-carbon future: findings from a new exergy-based analysis. Energies, 10(1), 51.</w:t>
      </w:r>
    </w:p>
    <w:p>
      <w:pPr>
        <w:pStyle w:val="ListBullet"/>
        <w:spacing w:after="60"/>
      </w:pPr>
      <w:r>
        <w:rPr>
          <w:sz w:val="20"/>
        </w:rPr>
        <w:t>Feenstra, R.C., Inklaar, R., &amp; Timmer, M.P. (2015). The Next Generation of the Penn World Table. American Economic Review, 105(10), 3150–3182.</w:t>
      </w:r>
    </w:p>
    <w:p>
      <w:pPr>
        <w:pStyle w:val="ListBullet"/>
        <w:spacing w:after="60"/>
      </w:pPr>
      <w:r>
        <w:rPr>
          <w:sz w:val="20"/>
        </w:rPr>
        <w:t>OAPEC — Organisation of Arab Petroleum Exporting Countries. Energy statistics, various years.</w:t>
      </w:r>
    </w:p>
    <w:p>
      <w:pPr>
        <w:pStyle w:val="ListBullet"/>
        <w:spacing w:after="60"/>
      </w:pPr>
      <w:r>
        <w:rPr>
          <w:sz w:val="20"/>
        </w:rPr>
        <w:t>Sorrell, S. (2007). The Rebound Effect: an assessment of the evidence for economy-wide energy savings from improved energy efficiency. UK Energy Research Centre (UKERC), London.</w:t>
      </w:r>
    </w:p>
    <w:p>
      <w:pPr>
        <w:pStyle w:val="ListBullet"/>
        <w:spacing w:after="60"/>
      </w:pPr>
      <w:r>
        <w:rPr>
          <w:sz w:val="20"/>
        </w:rPr>
        <w:t>Arrow, K.J., Chenery, H.B., Minhas, B.S., &amp; Solow, R.M. (1961). Capital-labour substitution and economic efficiency. Review of Economics and Statistics, 43(3), 225–250.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