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- DRadoaica Antimalware Guide -</w:t>
      </w:r>
      <w:r>
        <w:br w:type="page"/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bCs/>
          <w:sz w:val="32"/>
          <w:szCs w:val="32"/>
        </w:rPr>
        <w:t>Ghid pentru instalare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 face build-ul pentru solutia “Dradoaica.Antimalware.sln”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 copiaza rezutatul build-ului (...\Dradoaica.Antimalware\DRadoaica.Antimalware.Console\bin\Debug) in locatia dorita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 modifica parametrii “RESTApiUrl” si “SignalRUrl” din fisierul de configurare “Dradoaica.Antimalware.Console.exe.config” (Atentie!!!: trebuie sa va asigurati ca port-urile alese sunt libere)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se ruleaza executabilul “DRadoaica.Antimalware.Console.exe”</w:t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bCs/>
          <w:sz w:val="32"/>
          <w:szCs w:val="32"/>
        </w:rPr>
        <w:t>Ghid  de utilizare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Aplicatia pune la dispozitie 2 Api-uri (unul REST si unul bazat pe SignalR) pentru componenta de antimalware.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REST Api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both"/>
        <w:rPr/>
      </w:pPr>
      <w:r>
        <w:rPr>
          <w:rFonts w:ascii="Times New Roman" w:hAnsi="Times New Roman"/>
          <w:b w:val="false"/>
          <w:bCs w:val="false"/>
          <w:sz w:val="24"/>
          <w:szCs w:val="24"/>
        </w:rPr>
        <w:t xml:space="preserve">Pentru o mai usoara utilizare a acestui Api este pusa la dispozitie o interfata cu ajutorul lui Swagger la urmatoarea adresa </w:t>
      </w:r>
      <w:hyperlink r:id="rId2">
        <w:r>
          <w:rPr>
            <w:rStyle w:val="InternetLink"/>
            <w:rFonts w:ascii="Times New Roman" w:hAnsi="Times New Roman"/>
            <w:b w:val="false"/>
            <w:bCs w:val="false"/>
            <w:sz w:val="24"/>
            <w:szCs w:val="24"/>
          </w:rPr>
          <w:t>http://localhost:9000/swagger</w:t>
        </w:r>
      </w:hyperlink>
      <w:r>
        <w:rPr>
          <w:rFonts w:ascii="Times New Roman" w:hAnsi="Times New Roman"/>
          <w:b w:val="false"/>
          <w:bCs w:val="false"/>
          <w:sz w:val="24"/>
          <w:szCs w:val="24"/>
        </w:rPr>
        <w:t>: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5008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Pentru utilizarea acestui Api se poate utiliza clientul pus la dispozitie in libraria “Dradoaica.Antimalware.Clients.dll”. Exemplu de utilizare: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Consolas" w:hAnsi="Consolas"/>
          <w:b w:val="false"/>
          <w:bCs w:val="false"/>
          <w:color w:val="000000"/>
          <w:sz w:val="19"/>
          <w:szCs w:val="24"/>
        </w:rPr>
        <w:t xml:space="preserve">            </w:t>
      </w:r>
      <w:r>
        <w:rPr>
          <w:rFonts w:ascii="Consolas" w:hAnsi="Consolas"/>
          <w:b w:val="false"/>
          <w:bCs w:val="false"/>
          <w:color w:val="0000FF"/>
          <w:sz w:val="19"/>
          <w:szCs w:val="24"/>
        </w:rPr>
        <w:t>using</w:t>
      </w:r>
      <w:r>
        <w:rPr>
          <w:rFonts w:ascii="Consolas" w:hAnsi="Consolas"/>
          <w:b w:val="false"/>
          <w:bCs w:val="false"/>
          <w:color w:val="000000"/>
          <w:sz w:val="19"/>
          <w:szCs w:val="24"/>
        </w:rPr>
        <w:t xml:space="preserve"> DRadoaica.Antimalware.Clients.Swagger.Api;</w:t>
      </w:r>
    </w:p>
    <w:p>
      <w:pPr>
        <w:pStyle w:val="Normal"/>
        <w:rPr/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...</w:t>
      </w:r>
    </w:p>
    <w:p>
      <w:pPr>
        <w:pStyle w:val="Normal"/>
        <w:rPr/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var</w:t>
      </w:r>
      <w:r>
        <w:rPr>
          <w:rFonts w:ascii="Consolas" w:hAnsi="Consolas"/>
          <w:color w:val="000000"/>
          <w:sz w:val="19"/>
        </w:rPr>
        <w:t xml:space="preserve"> antimalwareApi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AntimalwareApi(</w:t>
      </w:r>
      <w:r>
        <w:rPr>
          <w:rFonts w:ascii="Consolas" w:hAnsi="Consolas"/>
          <w:color w:val="A31515"/>
          <w:sz w:val="19"/>
        </w:rPr>
        <w:t>"http://localhost:9000/"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/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antimalwareApi.AntimalwareStartScan();</w:t>
      </w:r>
    </w:p>
    <w:p>
      <w:pPr>
        <w:pStyle w:val="Normal"/>
        <w:rPr/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...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Consolas" w:hAnsi="Consolas"/>
          <w:b w:val="false"/>
          <w:bCs w:val="false"/>
          <w:color w:val="000000"/>
          <w:sz w:val="19"/>
          <w:szCs w:val="24"/>
        </w:rPr>
        <w:t xml:space="preserve">            </w:t>
      </w:r>
      <w:r>
        <w:rPr>
          <w:rFonts w:ascii="Consolas" w:hAnsi="Consolas"/>
          <w:b w:val="false"/>
          <w:bCs w:val="false"/>
          <w:color w:val="0000FF"/>
          <w:sz w:val="19"/>
          <w:szCs w:val="24"/>
        </w:rPr>
        <w:t>var</w:t>
      </w:r>
      <w:r>
        <w:rPr>
          <w:rFonts w:ascii="Consolas" w:hAnsi="Consolas"/>
          <w:b w:val="false"/>
          <w:bCs w:val="false"/>
          <w:color w:val="000000"/>
          <w:sz w:val="19"/>
          <w:szCs w:val="24"/>
        </w:rPr>
        <w:t xml:space="preserve"> events = antimalwareApi.AntimalwareConsumePersistedEvents();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</w:rPr>
        <w:t xml:space="preserve">Pentru funtionalitatea de “push notification”  este pus la dispozitie un WebHook, acesta va face un apel de tip POST cu continut la adresa specificata prin </w:t>
      </w: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u w:val="none"/>
        </w:rPr>
        <w:t>.../api/antimalware/addwebhook</w:t>
      </w:r>
      <w:r>
        <w:rPr>
          <w:rFonts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:</w:t>
      </w:r>
    </w:p>
    <w:p>
      <w:pPr>
        <w:pStyle w:val="Normal"/>
        <w:jc w:val="both"/>
        <w:rPr>
          <w:i w:val="false"/>
          <w:i w:val="false"/>
          <w:iCs w:val="false"/>
          <w:color w:val="000000"/>
          <w:u w:val="none"/>
        </w:rPr>
      </w:pPr>
      <w:r>
        <w:rPr>
          <w:i w:val="false"/>
          <w:iCs w:val="false"/>
          <w:color w:val="000000"/>
          <w:u w:val="none"/>
        </w:rPr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 xml:space="preserve">{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 xml:space="preserve">"EventId": "00000000-0000-0000-0000-000000000000",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 xml:space="preserve">"Message": "string",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 xml:space="preserve">"Threats": [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ab/>
        <w:t xml:space="preserve">{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ab/>
        <w:tab/>
        <w:t xml:space="preserve">"Name": "string",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ab/>
        <w:tab/>
        <w:t xml:space="preserve">"Path": "string"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ab/>
        <w:t xml:space="preserve">} </w:t>
      </w:r>
    </w:p>
    <w:p>
      <w:pPr>
        <w:pStyle w:val="Normal"/>
        <w:jc w:val="both"/>
        <w:rPr>
          <w:rFonts w:ascii="Consolas" w:hAnsi="Consolas"/>
          <w:b w:val="false"/>
          <w:b w:val="false"/>
          <w:bCs w:val="false"/>
          <w:sz w:val="19"/>
          <w:szCs w:val="19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ab/>
        <w:t xml:space="preserve">] </w:t>
      </w:r>
    </w:p>
    <w:p>
      <w:pPr>
        <w:pStyle w:val="Normal"/>
        <w:jc w:val="both"/>
        <w:rPr>
          <w:i w:val="false"/>
          <w:i w:val="false"/>
          <w:iCs w:val="false"/>
          <w:color w:val="000000"/>
          <w:u w:val="none"/>
        </w:rPr>
      </w:pPr>
      <w:r>
        <w:rPr>
          <w:rFonts w:ascii="Consolas" w:hAnsi="Consolas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19"/>
          <w:szCs w:val="19"/>
          <w:u w:val="none"/>
        </w:rPr>
        <w:t>}</w:t>
      </w:r>
      <w:r>
        <w:rPr>
          <w:rFonts w:ascii="Consolas" w:hAnsi="Consolas"/>
          <w:b w:val="false"/>
          <w:bCs w:val="false"/>
          <w:i w:val="false"/>
          <w:iCs w:val="false"/>
          <w:color w:val="000000"/>
          <w:sz w:val="19"/>
          <w:szCs w:val="19"/>
          <w:u w:val="none"/>
        </w:rPr>
        <w:t xml:space="preserve"> </w:t>
      </w:r>
    </w:p>
    <w:p>
      <w:pPr>
        <w:pStyle w:val="Normal"/>
        <w:jc w:val="both"/>
        <w:rPr>
          <w:rFonts w:ascii="Times New Roman" w:hAnsi="Times New Roman"/>
          <w:b w:val="false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jc w:val="both"/>
        <w:rPr/>
      </w:pPr>
      <w:r>
        <w:rPr>
          <w:rFonts w:ascii="Times New Roman" w:hAnsi="Times New Roman"/>
          <w:b/>
          <w:bCs/>
          <w:sz w:val="24"/>
          <w:szCs w:val="24"/>
        </w:rPr>
        <w:t>SignalR Api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Pentru acest Api s-a realizat o interfata web:</w:t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9044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/>
      </w:pPr>
      <w:r>
        <w:rPr>
          <w:rFonts w:ascii="Times New Roman" w:hAnsi="Times New Roman"/>
          <w:b/>
          <w:bCs/>
          <w:sz w:val="32"/>
          <w:szCs w:val="32"/>
        </w:rPr>
        <w:t>Ghid pentru dezvoltare</w:t>
      </w:r>
    </w:p>
    <w:p>
      <w:pPr>
        <w:pStyle w:val="Normal"/>
        <w:jc w:val="center"/>
        <w:rPr>
          <w:rFonts w:ascii="Times New Roman" w:hAnsi="Times New Roman"/>
          <w:b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Normal"/>
        <w:jc w:val="both"/>
        <w:rPr/>
      </w:pPr>
      <w:r>
        <w:rPr/>
        <w:t>Structura solutiei: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DRadoaica.Antimalware.Clients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DRadoaica.Antimalware.Console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DRadoaica.Antimalware.SDK</w:t>
      </w:r>
    </w:p>
    <w:p>
      <w:pPr>
        <w:pStyle w:val="Normal"/>
        <w:numPr>
          <w:ilvl w:val="0"/>
          <w:numId w:val="3"/>
        </w:numPr>
        <w:jc w:val="both"/>
        <w:rPr/>
      </w:pPr>
      <w:r>
        <w:rPr/>
        <w:t>Dradoaica.Antimalware.Tests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DRadoaica.Antimalware.SDK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Cele mai importante clase: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clasa </w:t>
      </w:r>
      <w:r>
        <w:rPr>
          <w:b w:val="false"/>
          <w:bCs w:val="false"/>
          <w:i/>
          <w:iCs/>
        </w:rPr>
        <w:t>AntimalwareMock</w:t>
      </w:r>
      <w:r>
        <w:rPr>
          <w:b w:val="false"/>
          <w:bCs w:val="false"/>
          <w:i w:val="false"/>
          <w:iCs w:val="false"/>
        </w:rPr>
        <w:t xml:space="preserve"> reprezinta implementarea mock pentru cerintele legate de componenta de antimalware; foloseste o componenta Pub/Sub pentru expunerea evenimentelor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clasa </w:t>
      </w:r>
      <w:r>
        <w:rPr>
          <w:b w:val="false"/>
          <w:bCs w:val="false"/>
          <w:i/>
          <w:iCs/>
        </w:rPr>
        <w:t>AntimalwareConsumer</w:t>
      </w:r>
      <w:r>
        <w:rPr>
          <w:b w:val="false"/>
          <w:bCs w:val="false"/>
          <w:i w:val="false"/>
          <w:iCs w:val="false"/>
        </w:rPr>
        <w:t xml:space="preserve"> consuma evenimentele expuse de  </w:t>
      </w:r>
      <w:r>
        <w:rPr>
          <w:b w:val="false"/>
          <w:bCs w:val="false"/>
          <w:i/>
          <w:iCs/>
        </w:rPr>
        <w:t>AntimalwareMock</w:t>
      </w:r>
      <w:r>
        <w:rPr>
          <w:b w:val="false"/>
          <w:bCs w:val="false"/>
          <w:i w:val="false"/>
          <w:iCs w:val="false"/>
        </w:rPr>
        <w:t xml:space="preserve"> si se ocupa de “push notification”;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clasa </w:t>
      </w:r>
      <w:r>
        <w:rPr>
          <w:b w:val="false"/>
          <w:bCs w:val="false"/>
          <w:i/>
          <w:iCs/>
        </w:rPr>
        <w:t>AntimalwareHostBuilder</w:t>
      </w:r>
      <w:r>
        <w:rPr>
          <w:b w:val="false"/>
          <w:bCs w:val="false"/>
          <w:i w:val="false"/>
          <w:iCs w:val="false"/>
        </w:rPr>
        <w:t xml:space="preserve"> ridica in modul self-host cele 2 Api-uri (se pot utiliza concomitent sau separat)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clasa </w:t>
      </w:r>
      <w:r>
        <w:rPr>
          <w:b w:val="false"/>
          <w:bCs w:val="false"/>
          <w:i/>
          <w:iCs/>
        </w:rPr>
        <w:t>AntimalwareController</w:t>
      </w:r>
      <w:bookmarkStart w:id="0" w:name="__DdeLink__84_1802590937"/>
      <w:r>
        <w:rPr>
          <w:b w:val="false"/>
          <w:bCs w:val="false"/>
          <w:i w:val="false"/>
          <w:iCs w:val="false"/>
        </w:rPr>
        <w:t xml:space="preserve"> expune implementarea de antimalware ca</w:t>
      </w:r>
      <w:bookmarkEnd w:id="0"/>
      <w:r>
        <w:rPr>
          <w:b w:val="false"/>
          <w:bCs w:val="false"/>
          <w:i w:val="false"/>
          <w:iCs w:val="false"/>
        </w:rPr>
        <w:t xml:space="preserve"> REST Api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clasa </w:t>
      </w:r>
      <w:r>
        <w:rPr>
          <w:b w:val="false"/>
          <w:bCs w:val="false"/>
          <w:i/>
          <w:iCs/>
        </w:rPr>
        <w:t>AntimalwareHub</w:t>
      </w:r>
      <w:r>
        <w:rPr>
          <w:b w:val="false"/>
          <w:bCs w:val="false"/>
          <w:i w:val="false"/>
          <w:iCs w:val="false"/>
        </w:rPr>
        <w:t xml:space="preserve"> expune implementarea de antimalware ca SignalR Api</w:t>
      </w:r>
    </w:p>
    <w:p>
      <w:pPr>
        <w:pStyle w:val="Normal"/>
        <w:numPr>
          <w:ilvl w:val="0"/>
          <w:numId w:val="2"/>
        </w:numPr>
        <w:jc w:val="both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clasa </w:t>
      </w:r>
      <w:r>
        <w:rPr>
          <w:b w:val="false"/>
          <w:bCs w:val="false"/>
          <w:i/>
          <w:iCs/>
        </w:rPr>
        <w:t>IoCContainerWrapper</w:t>
      </w:r>
      <w:r>
        <w:rPr>
          <w:b w:val="false"/>
          <w:bCs w:val="false"/>
          <w:i w:val="false"/>
          <w:iCs w:val="false"/>
        </w:rPr>
        <w:t xml:space="preserve"> reprezinta un monostate peste continerul de IoC</w:t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DRadoaica.Antimalware.Tests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Pentru testarea unitare s-a folosit libraria </w:t>
      </w:r>
      <w:r>
        <w:rPr>
          <w:b w:val="false"/>
          <w:bCs w:val="false"/>
          <w:i/>
          <w:iCs/>
        </w:rPr>
        <w:t>FakeItEasy</w:t>
      </w:r>
    </w:p>
    <w:p>
      <w:pPr>
        <w:pStyle w:val="Normal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DRadoaica.Antimalware.Console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Reprezinta host-ul pentru SDK.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jc w:val="both"/>
        <w:rPr>
          <w:b/>
          <w:b/>
          <w:bCs/>
        </w:rPr>
      </w:pPr>
      <w:r>
        <w:rPr>
          <w:b/>
          <w:bCs/>
        </w:rPr>
        <w:t>DRadoaica.Antimalware.Clients</w:t>
      </w:r>
    </w:p>
    <w:p>
      <w:pPr>
        <w:pStyle w:val="Normal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Contine un client pentru REST Api, generat pe baza definitiei Swagger, utilizand C#.</w:t>
      </w:r>
    </w:p>
    <w:p>
      <w:pPr>
        <w:pStyle w:val="Normal"/>
        <w:jc w:val="both"/>
        <w:rPr/>
      </w:pPr>
      <w:r>
        <w:rPr>
          <w:b w:val="false"/>
          <w:bCs w:val="false"/>
        </w:rPr>
        <w:t>Contine un client pentru SignalR Api, utilizand JS.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nsolas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rFonts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ascii="Times New Roman" w:hAnsi="Times New Roman"/>
      <w:b w:val="false"/>
      <w:bCs w:val="false"/>
      <w:sz w:val="24"/>
      <w:szCs w:val="24"/>
    </w:rPr>
  </w:style>
  <w:style w:type="character" w:styleId="ListLabel11">
    <w:name w:val="ListLabel 11"/>
    <w:qFormat/>
    <w:rPr>
      <w:rFonts w:ascii="Times New Roman" w:hAnsi="Times New Roman"/>
      <w:b w:val="false"/>
      <w:bCs w:val="false"/>
      <w:sz w:val="24"/>
      <w:szCs w:val="24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</w:rPr>
  </w:style>
  <w:style w:type="character" w:styleId="ListLabel21">
    <w:name w:val="ListLabel 21"/>
    <w:qFormat/>
    <w:rPr>
      <w:rFonts w:ascii="Times New Roman" w:hAnsi="Times New Roman"/>
      <w:b w:val="false"/>
      <w:bCs w:val="false"/>
      <w:sz w:val="24"/>
      <w:szCs w:val="24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cs="OpenSymbol"/>
    </w:rPr>
  </w:style>
  <w:style w:type="character" w:styleId="ListLabel30">
    <w:name w:val="ListLabel 30"/>
    <w:qFormat/>
    <w:rPr>
      <w:rFonts w:cs="OpenSymbol"/>
    </w:rPr>
  </w:style>
  <w:style w:type="character" w:styleId="ListLabel31">
    <w:name w:val="ListLabel 31"/>
    <w:qFormat/>
    <w:rPr>
      <w:rFonts w:ascii="Times New Roman" w:hAnsi="Times New Roman"/>
      <w:b w:val="false"/>
      <w:bCs w:val="false"/>
      <w:sz w:val="24"/>
      <w:szCs w:val="24"/>
    </w:rPr>
  </w:style>
  <w:style w:type="character" w:styleId="ListLabel32">
    <w:name w:val="ListLabel 32"/>
    <w:qFormat/>
    <w:rPr>
      <w:rFonts w:cs="OpenSymbol"/>
      <w:b w:val="false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</w:rPr>
  </w:style>
  <w:style w:type="character" w:styleId="ListLabel50">
    <w:name w:val="ListLabel 50"/>
    <w:qFormat/>
    <w:rPr>
      <w:rFonts w:ascii="Times New Roman" w:hAnsi="Times New Roman"/>
      <w:b w:val="false"/>
      <w:bCs w:val="false"/>
      <w:sz w:val="24"/>
      <w:szCs w:val="24"/>
    </w:rPr>
  </w:style>
  <w:style w:type="character" w:styleId="ListLabel51">
    <w:name w:val="ListLabel 51"/>
    <w:qFormat/>
    <w:rPr>
      <w:rFonts w:cs="OpenSymbol"/>
      <w:b w:val="false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cs="OpenSymbol"/>
    </w:rPr>
  </w:style>
  <w:style w:type="character" w:styleId="ListLabel59">
    <w:name w:val="ListLabel 59"/>
    <w:qFormat/>
    <w:rPr>
      <w:rFonts w:cs="OpenSymbol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ascii="Times New Roman" w:hAnsi="Times New Roman"/>
      <w:b w:val="false"/>
      <w:bCs w:val="false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9000/swagger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LibreOffice/6.1.1.2$Windows_X86_64 LibreOffice_project/5d19a1bfa650b796764388cd8b33a5af1f5baa1b</Application>
  <Pages>4</Pages>
  <Words>310</Words>
  <Characters>2381</Characters>
  <CharactersWithSpaces>2725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2018-09-27T15:41:40Z</dcterms:created>
  <dc:creator/>
  <dc:description/>
  <dc:language>en-US</dc:language>
  <cp:lastModifiedBy/>
  <dcterms:modified xsi:type="dcterms:W3CDTF">2018-09-27T19:05:13Z</dcterms:modified>
  <cp:revision>146</cp:revision>
  <dc:subject/>
  <dc:title/>
</cp:coreProperties>
</file>